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75" w:rsidRPr="00164675" w:rsidRDefault="0034768E" w:rsidP="00174F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color w:val="0070C0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160020</wp:posOffset>
            </wp:positionV>
            <wp:extent cx="4813300" cy="1282700"/>
            <wp:effectExtent l="0" t="0" r="6350" b="0"/>
            <wp:wrapThrough wrapText="bothSides">
              <wp:wrapPolygon edited="0">
                <wp:start x="3761" y="0"/>
                <wp:lineTo x="2308" y="0"/>
                <wp:lineTo x="1710" y="1604"/>
                <wp:lineTo x="1710" y="5133"/>
                <wp:lineTo x="85" y="8020"/>
                <wp:lineTo x="0" y="8341"/>
                <wp:lineTo x="0" y="16681"/>
                <wp:lineTo x="427" y="20531"/>
                <wp:lineTo x="1710" y="21172"/>
                <wp:lineTo x="20346" y="21172"/>
                <wp:lineTo x="21543" y="16681"/>
                <wp:lineTo x="21201" y="16360"/>
                <wp:lineTo x="17183" y="14756"/>
                <wp:lineTo x="17354" y="10265"/>
                <wp:lineTo x="21543" y="7378"/>
                <wp:lineTo x="21543" y="1283"/>
                <wp:lineTo x="17183" y="0"/>
                <wp:lineTo x="4360" y="0"/>
                <wp:lineTo x="3761" y="0"/>
              </wp:wrapPolygon>
            </wp:wrapThrough>
            <wp:docPr id="16" name="Picture 5" descr="V:\HSCP\Branding\Final 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:\HSCP\Branding\Final Logo Colou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7733" w:rsidRPr="00174F8B" w:rsidRDefault="00097733" w:rsidP="00174F8B">
      <w:pPr>
        <w:jc w:val="both"/>
        <w:rPr>
          <w:rFonts w:ascii="Arial" w:hAnsi="Arial" w:cs="Arial"/>
          <w:b/>
        </w:rPr>
      </w:pPr>
    </w:p>
    <w:p w:rsidR="00097733" w:rsidRPr="00174F8B" w:rsidRDefault="00097733" w:rsidP="00174F8B">
      <w:pPr>
        <w:jc w:val="both"/>
        <w:rPr>
          <w:rFonts w:ascii="Arial" w:hAnsi="Arial" w:cs="Arial"/>
          <w:b/>
        </w:rPr>
      </w:pPr>
    </w:p>
    <w:p w:rsidR="00097733" w:rsidRPr="00174F8B" w:rsidRDefault="00097733" w:rsidP="00174F8B">
      <w:pPr>
        <w:jc w:val="both"/>
        <w:rPr>
          <w:rFonts w:ascii="Arial" w:hAnsi="Arial" w:cs="Arial"/>
          <w:b/>
        </w:rPr>
      </w:pPr>
    </w:p>
    <w:p w:rsidR="00097733" w:rsidRPr="00174F8B" w:rsidRDefault="00097733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B62FC1">
      <w:pPr>
        <w:jc w:val="center"/>
        <w:rPr>
          <w:rFonts w:ascii="Arial" w:hAnsi="Arial" w:cs="Arial"/>
          <w:b/>
        </w:rPr>
      </w:pPr>
    </w:p>
    <w:p w:rsidR="00B62FC1" w:rsidRPr="00174F8B" w:rsidRDefault="0034768E" w:rsidP="00B62FC1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174F8B">
        <w:rPr>
          <w:rFonts w:ascii="Arial" w:hAnsi="Arial" w:cs="Arial"/>
          <w:b/>
          <w:color w:val="0070C0"/>
          <w:sz w:val="32"/>
          <w:szCs w:val="32"/>
        </w:rPr>
        <w:t>Equality</w:t>
      </w:r>
      <w:r w:rsidR="00C61BB4" w:rsidRPr="00174F8B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B62FC1" w:rsidRPr="00174F8B">
        <w:rPr>
          <w:rFonts w:ascii="Arial" w:hAnsi="Arial" w:cs="Arial"/>
          <w:b/>
          <w:color w:val="0070C0"/>
          <w:sz w:val="32"/>
          <w:szCs w:val="32"/>
        </w:rPr>
        <w:t>Impact Assessment</w:t>
      </w:r>
    </w:p>
    <w:p w:rsidR="00B62FC1" w:rsidRPr="00174F8B" w:rsidRDefault="00B62FC1" w:rsidP="00B62FC1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1: About the proposal</w:t>
      </w:r>
    </w:p>
    <w:p w:rsidR="00CB79BC" w:rsidRPr="00B62FC1" w:rsidRDefault="00CB79BC" w:rsidP="00B62FC1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Title of Proposal</w:t>
            </w:r>
          </w:p>
        </w:tc>
      </w:tr>
      <w:tr w:rsidR="00B62FC1" w:rsidRPr="00675C29" w:rsidTr="00C158B2">
        <w:tc>
          <w:tcPr>
            <w:tcW w:w="9493" w:type="dxa"/>
          </w:tcPr>
          <w:p w:rsidR="00174F8B" w:rsidRPr="00174F8B" w:rsidRDefault="00300304" w:rsidP="00174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Saving from Voluntary Sector </w:t>
            </w:r>
            <w:r w:rsidR="00417CE8">
              <w:rPr>
                <w:rFonts w:ascii="Arial" w:hAnsi="Arial" w:cs="Arial"/>
              </w:rPr>
              <w:t xml:space="preserve">Budget of </w:t>
            </w:r>
            <w:r>
              <w:rPr>
                <w:rFonts w:ascii="Arial" w:hAnsi="Arial" w:cs="Arial"/>
              </w:rPr>
              <w:t>£60k</w:t>
            </w:r>
          </w:p>
        </w:tc>
      </w:tr>
    </w:tbl>
    <w:p w:rsidR="00B62FC1" w:rsidRPr="00675C29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Intended outcome of proposal</w:t>
            </w:r>
          </w:p>
        </w:tc>
      </w:tr>
      <w:tr w:rsidR="00B62FC1" w:rsidRPr="006A1C33" w:rsidTr="00C158B2">
        <w:tc>
          <w:tcPr>
            <w:tcW w:w="9493" w:type="dxa"/>
          </w:tcPr>
          <w:p w:rsidR="00B62FC1" w:rsidRDefault="00300304" w:rsidP="00174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Saving from a budget that is no longer required to match fund 1000 Voices </w:t>
            </w:r>
            <w:r w:rsidR="00DF0704">
              <w:rPr>
                <w:rFonts w:ascii="Arial" w:hAnsi="Arial" w:cs="Arial"/>
              </w:rPr>
              <w:t xml:space="preserve">Project </w:t>
            </w:r>
            <w:r>
              <w:rPr>
                <w:rFonts w:ascii="Arial" w:hAnsi="Arial" w:cs="Arial"/>
              </w:rPr>
              <w:t xml:space="preserve">(TSI) which linked </w:t>
            </w:r>
            <w:r w:rsidR="00A152E9">
              <w:rPr>
                <w:rFonts w:ascii="Arial" w:hAnsi="Arial" w:cs="Arial"/>
              </w:rPr>
              <w:t xml:space="preserve">older </w:t>
            </w:r>
            <w:r>
              <w:rPr>
                <w:rFonts w:ascii="Arial" w:hAnsi="Arial" w:cs="Arial"/>
              </w:rPr>
              <w:t>people to prevention and early intervention activities within the community.</w:t>
            </w:r>
            <w:r w:rsidR="00DF0704">
              <w:rPr>
                <w:rFonts w:ascii="Arial" w:hAnsi="Arial" w:cs="Arial"/>
              </w:rPr>
              <w:t xml:space="preserve"> This project is coming to an end on the 31</w:t>
            </w:r>
            <w:r w:rsidR="00DF0704" w:rsidRPr="00DF0704">
              <w:rPr>
                <w:rFonts w:ascii="Arial" w:hAnsi="Arial" w:cs="Arial"/>
                <w:vertAlign w:val="superscript"/>
              </w:rPr>
              <w:t>st</w:t>
            </w:r>
            <w:r w:rsidR="00DF0704">
              <w:rPr>
                <w:rFonts w:ascii="Arial" w:hAnsi="Arial" w:cs="Arial"/>
              </w:rPr>
              <w:t xml:space="preserve"> March 2021 and the march funding is no longer required.</w:t>
            </w:r>
            <w:r w:rsidR="00821419">
              <w:rPr>
                <w:rFonts w:ascii="Arial" w:hAnsi="Arial" w:cs="Arial"/>
              </w:rPr>
              <w:t xml:space="preserve"> The funding part funded staff within the TSI.</w:t>
            </w:r>
            <w:r w:rsidR="00A152E9">
              <w:rPr>
                <w:rFonts w:ascii="Arial" w:hAnsi="Arial" w:cs="Arial"/>
              </w:rPr>
              <w:t xml:space="preserve"> The total funding from the HSCP was £105k but we have ring fenced the £45k remainder to have a focus on prevention.</w:t>
            </w:r>
          </w:p>
          <w:p w:rsidR="00174F8B" w:rsidRPr="00174F8B" w:rsidRDefault="00174F8B" w:rsidP="00174F8B">
            <w:pPr>
              <w:rPr>
                <w:rFonts w:ascii="Arial" w:hAnsi="Arial" w:cs="Arial"/>
              </w:rPr>
            </w:pPr>
          </w:p>
        </w:tc>
      </w:tr>
    </w:tbl>
    <w:p w:rsidR="00B62FC1" w:rsidRPr="006A1C33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 proposal</w:t>
            </w:r>
          </w:p>
        </w:tc>
      </w:tr>
      <w:tr w:rsidR="00B62FC1" w:rsidRPr="006A1C33" w:rsidTr="00C158B2">
        <w:tc>
          <w:tcPr>
            <w:tcW w:w="9493" w:type="dxa"/>
          </w:tcPr>
          <w:p w:rsidR="00174F8B" w:rsidRPr="00174F8B" w:rsidRDefault="00A152E9" w:rsidP="005E1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300304">
              <w:rPr>
                <w:rFonts w:ascii="Arial" w:hAnsi="Arial" w:cs="Arial"/>
              </w:rPr>
              <w:t xml:space="preserve">aving from a budget that is no longer required to match fund 1000 Voices </w:t>
            </w:r>
            <w:r w:rsidR="00DF0704">
              <w:rPr>
                <w:rFonts w:ascii="Arial" w:hAnsi="Arial" w:cs="Arial"/>
              </w:rPr>
              <w:t xml:space="preserve">(employed staff </w:t>
            </w:r>
            <w:r w:rsidR="00300304">
              <w:rPr>
                <w:rFonts w:ascii="Arial" w:hAnsi="Arial" w:cs="Arial"/>
              </w:rPr>
              <w:t>from the TSI</w:t>
            </w:r>
            <w:r w:rsidR="00DF0704">
              <w:rPr>
                <w:rFonts w:ascii="Arial" w:hAnsi="Arial" w:cs="Arial"/>
              </w:rPr>
              <w:t xml:space="preserve">) </w:t>
            </w:r>
            <w:r w:rsidR="00300304">
              <w:rPr>
                <w:rFonts w:ascii="Arial" w:hAnsi="Arial" w:cs="Arial"/>
              </w:rPr>
              <w:t xml:space="preserve">which linked people to prevention and early intervention activities. </w:t>
            </w:r>
            <w:r w:rsidR="005E1E49">
              <w:rPr>
                <w:rFonts w:ascii="Arial" w:hAnsi="Arial" w:cs="Arial"/>
              </w:rPr>
              <w:t xml:space="preserve">A number of areas of duplication and overlap had been identified and agreement has been reached that the funding is no longer required. </w:t>
            </w:r>
            <w:r w:rsidR="00300304">
              <w:rPr>
                <w:rFonts w:ascii="Arial" w:hAnsi="Arial" w:cs="Arial"/>
              </w:rPr>
              <w:t>However recognising the importance of prevention and link working, a short life working group is established to scope the use of Primary Care Link Working monies</w:t>
            </w:r>
            <w:r>
              <w:rPr>
                <w:rFonts w:ascii="Arial" w:hAnsi="Arial" w:cs="Arial"/>
              </w:rPr>
              <w:t xml:space="preserve"> (a separate work stream but similar aims)</w:t>
            </w:r>
            <w:r w:rsidR="005E1E49">
              <w:rPr>
                <w:rFonts w:ascii="Arial" w:hAnsi="Arial" w:cs="Arial"/>
              </w:rPr>
              <w:t xml:space="preserve"> and also work of Health and Well-being coordinators,</w:t>
            </w:r>
            <w:r w:rsidR="00300304">
              <w:rPr>
                <w:rFonts w:ascii="Arial" w:hAnsi="Arial" w:cs="Arial"/>
              </w:rPr>
              <w:t xml:space="preserve"> to drive this work forward. Therefore there will remain a focus on the importance of early intervention and community supports for older people.</w:t>
            </w:r>
            <w:r w:rsidR="00821419">
              <w:rPr>
                <w:rFonts w:ascii="Arial" w:hAnsi="Arial" w:cs="Arial"/>
              </w:rPr>
              <w:t xml:space="preserve"> This will be linked with the wider strategic work of supporting older adults.</w:t>
            </w:r>
          </w:p>
        </w:tc>
      </w:tr>
    </w:tbl>
    <w:p w:rsidR="00B62FC1" w:rsidRPr="006A1C33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A21E3D" w:rsidP="006D56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HSCP Strategic Priorities</w:t>
            </w:r>
            <w:r w:rsidRPr="00675C2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to which </w:t>
            </w:r>
            <w:r w:rsidRPr="00675C29">
              <w:rPr>
                <w:rFonts w:ascii="Arial" w:hAnsi="Arial" w:cs="Arial"/>
                <w:b/>
              </w:rPr>
              <w:t>the proposal contribute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B62FC1" w:rsidRPr="00675C29" w:rsidTr="00C158B2">
        <w:tc>
          <w:tcPr>
            <w:tcW w:w="9493" w:type="dxa"/>
          </w:tcPr>
          <w:p w:rsidR="00B62FC1" w:rsidRPr="00821419" w:rsidRDefault="00B96586" w:rsidP="006D5698">
            <w:pPr>
              <w:rPr>
                <w:rFonts w:ascii="Arial" w:hAnsi="Arial" w:cs="Arial"/>
              </w:rPr>
            </w:pPr>
            <w:r w:rsidRPr="00B96586">
              <w:rPr>
                <w:rFonts w:ascii="Arial" w:hAnsi="Arial" w:cs="Arial"/>
              </w:rPr>
              <w:t>Although this is a clear saving, we will align prevention and community supp</w:t>
            </w:r>
            <w:r w:rsidR="00A152E9">
              <w:rPr>
                <w:rFonts w:ascii="Arial" w:hAnsi="Arial" w:cs="Arial"/>
              </w:rPr>
              <w:t>ort approaches for older adults within a clearly defined work stream and involve the Third Sector (TSI) in this work.</w:t>
            </w:r>
          </w:p>
        </w:tc>
      </w:tr>
    </w:tbl>
    <w:p w:rsidR="00B62FC1" w:rsidRPr="00675C29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B62FC1" w:rsidRPr="00675C29" w:rsidTr="00C158B2">
        <w:tc>
          <w:tcPr>
            <w:tcW w:w="9493" w:type="dxa"/>
            <w:gridSpan w:val="2"/>
          </w:tcPr>
          <w:p w:rsidR="00A477ED" w:rsidRPr="00174F8B" w:rsidRDefault="00DB5C72" w:rsidP="00A817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Lead officer </w:t>
            </w:r>
            <w:r w:rsidR="00174F8B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B62FC1" w:rsidRPr="00675C29" w:rsidTr="00C158B2">
        <w:trPr>
          <w:trHeight w:val="139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Name of lead officer</w:t>
            </w:r>
          </w:p>
        </w:tc>
        <w:tc>
          <w:tcPr>
            <w:tcW w:w="4985" w:type="dxa"/>
          </w:tcPr>
          <w:p w:rsidR="00B62FC1" w:rsidRPr="00675C29" w:rsidRDefault="00300304" w:rsidP="006D56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Caroline Cherry</w:t>
            </w:r>
          </w:p>
        </w:tc>
      </w:tr>
      <w:tr w:rsidR="00B62FC1" w:rsidRPr="00675C29" w:rsidTr="00C158B2">
        <w:trPr>
          <w:trHeight w:val="137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4985" w:type="dxa"/>
          </w:tcPr>
          <w:p w:rsidR="00B62FC1" w:rsidRPr="00675C29" w:rsidRDefault="00300304" w:rsidP="006D56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Head of Service</w:t>
            </w:r>
          </w:p>
        </w:tc>
      </w:tr>
      <w:tr w:rsidR="00B62FC1" w:rsidRPr="00675C29" w:rsidTr="00C158B2">
        <w:trPr>
          <w:trHeight w:val="137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Department</w:t>
            </w:r>
          </w:p>
        </w:tc>
        <w:tc>
          <w:tcPr>
            <w:tcW w:w="4985" w:type="dxa"/>
          </w:tcPr>
          <w:p w:rsidR="00B62FC1" w:rsidRPr="00675C29" w:rsidRDefault="00300304" w:rsidP="006D56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Older Adults and Community Hospitals</w:t>
            </w:r>
          </w:p>
        </w:tc>
      </w:tr>
      <w:tr w:rsidR="00DB5C72" w:rsidRPr="00675C29" w:rsidTr="00C158B2">
        <w:trPr>
          <w:trHeight w:val="45"/>
        </w:trPr>
        <w:tc>
          <w:tcPr>
            <w:tcW w:w="9493" w:type="dxa"/>
            <w:gridSpan w:val="2"/>
          </w:tcPr>
          <w:p w:rsidR="00174F8B" w:rsidRPr="00174F8B" w:rsidRDefault="00DB5C72" w:rsidP="00174F8B">
            <w:pPr>
              <w:rPr>
                <w:rFonts w:ascii="Arial" w:hAnsi="Arial" w:cs="Arial"/>
                <w:bCs/>
              </w:rPr>
            </w:pPr>
            <w:r w:rsidRPr="00DB5C72">
              <w:rPr>
                <w:rFonts w:ascii="Arial" w:hAnsi="Arial" w:cs="Arial"/>
                <w:b/>
                <w:bCs/>
              </w:rPr>
              <w:t>App</w:t>
            </w:r>
            <w:r w:rsidR="00174F8B">
              <w:rPr>
                <w:rFonts w:ascii="Arial" w:hAnsi="Arial" w:cs="Arial"/>
                <w:b/>
                <w:bCs/>
              </w:rPr>
              <w:t>ropriate officer details</w:t>
            </w:r>
          </w:p>
        </w:tc>
      </w:tr>
      <w:tr w:rsidR="00B62FC1" w:rsidRPr="00675C29" w:rsidTr="00C158B2">
        <w:trPr>
          <w:trHeight w:val="137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Name of appropriate officer</w:t>
            </w:r>
          </w:p>
        </w:tc>
        <w:tc>
          <w:tcPr>
            <w:tcW w:w="4985" w:type="dxa"/>
          </w:tcPr>
          <w:p w:rsidR="00B62FC1" w:rsidRPr="00675C29" w:rsidRDefault="00821419" w:rsidP="008214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Lead of Communi</w:t>
            </w:r>
            <w:r w:rsidR="00CA78FE">
              <w:rPr>
                <w:rFonts w:ascii="Arial" w:hAnsi="Arial" w:cs="Arial"/>
                <w:b/>
                <w:bCs/>
              </w:rPr>
              <w:t xml:space="preserve">ty Asset Group </w:t>
            </w:r>
          </w:p>
        </w:tc>
      </w:tr>
      <w:tr w:rsidR="00B62FC1" w:rsidRPr="00675C29" w:rsidTr="00C158B2">
        <w:trPr>
          <w:trHeight w:val="137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hAnsi="Arial" w:cs="Arial"/>
                <w:bCs/>
              </w:rPr>
            </w:pPr>
            <w:r w:rsidRPr="00110158"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4985" w:type="dxa"/>
          </w:tcPr>
          <w:p w:rsidR="00B62FC1" w:rsidRPr="00675C29" w:rsidRDefault="00CA78FE" w:rsidP="006D56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Linda Currie</w:t>
            </w:r>
          </w:p>
        </w:tc>
      </w:tr>
      <w:tr w:rsidR="00B62FC1" w:rsidRPr="00675C29" w:rsidTr="00CB79BC">
        <w:trPr>
          <w:trHeight w:val="137"/>
        </w:trPr>
        <w:tc>
          <w:tcPr>
            <w:tcW w:w="4508" w:type="dxa"/>
            <w:tcBorders>
              <w:bottom w:val="single" w:sz="4" w:space="0" w:color="auto"/>
            </w:tcBorders>
          </w:tcPr>
          <w:p w:rsidR="00B62FC1" w:rsidRPr="00110158" w:rsidRDefault="00B62FC1" w:rsidP="006D5698">
            <w:pPr>
              <w:rPr>
                <w:rFonts w:ascii="Arial" w:hAnsi="Arial" w:cs="Arial"/>
                <w:bCs/>
              </w:rPr>
            </w:pPr>
            <w:r w:rsidRPr="00110158">
              <w:rPr>
                <w:rFonts w:ascii="Arial" w:hAnsi="Arial" w:cs="Arial"/>
                <w:bCs/>
              </w:rPr>
              <w:t>Department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B62FC1" w:rsidRPr="00675C29" w:rsidRDefault="00CA78FE" w:rsidP="006D56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Lead AHP</w:t>
            </w:r>
          </w:p>
        </w:tc>
      </w:tr>
      <w:tr w:rsidR="00174F8B" w:rsidRPr="00675C29" w:rsidTr="00CB79BC">
        <w:trPr>
          <w:trHeight w:val="137"/>
        </w:trPr>
        <w:tc>
          <w:tcPr>
            <w:tcW w:w="94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4F8B" w:rsidRPr="00675C29" w:rsidRDefault="00174F8B" w:rsidP="006D56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FC1" w:rsidRPr="00675C29" w:rsidTr="00CB79BC">
        <w:trPr>
          <w:trHeight w:val="137"/>
        </w:trPr>
        <w:tc>
          <w:tcPr>
            <w:tcW w:w="4508" w:type="dxa"/>
            <w:tcBorders>
              <w:left w:val="single" w:sz="4" w:space="0" w:color="auto"/>
              <w:bottom w:val="single" w:sz="4" w:space="0" w:color="auto"/>
            </w:tcBorders>
          </w:tcPr>
          <w:p w:rsidR="00B62FC1" w:rsidRPr="00110158" w:rsidRDefault="00CB79BC" w:rsidP="006D56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Sign-</w:t>
            </w:r>
            <w:r w:rsidR="0034768E">
              <w:rPr>
                <w:rFonts w:ascii="Arial" w:hAnsi="Arial" w:cs="Arial"/>
                <w:bCs/>
              </w:rPr>
              <w:t>off of E</w:t>
            </w:r>
            <w:r w:rsidR="00B62FC1" w:rsidRPr="00110158">
              <w:rPr>
                <w:rFonts w:ascii="Arial" w:hAnsi="Arial" w:cs="Arial"/>
                <w:bCs/>
              </w:rPr>
              <w:t>IA</w:t>
            </w:r>
          </w:p>
        </w:tc>
        <w:tc>
          <w:tcPr>
            <w:tcW w:w="4985" w:type="dxa"/>
          </w:tcPr>
          <w:p w:rsidR="00B62FC1" w:rsidRPr="00821419" w:rsidRDefault="00821419" w:rsidP="00A81748">
            <w:pPr>
              <w:rPr>
                <w:rFonts w:ascii="Arial" w:hAnsi="Arial" w:cs="Arial"/>
                <w:b/>
                <w:bCs/>
              </w:rPr>
            </w:pPr>
            <w:r w:rsidRPr="00821419">
              <w:rPr>
                <w:rFonts w:ascii="Arial" w:hAnsi="Arial" w:cs="Arial"/>
                <w:b/>
                <w:bCs/>
              </w:rPr>
              <w:t>Caroline Cherry</w:t>
            </w:r>
          </w:p>
        </w:tc>
      </w:tr>
      <w:tr w:rsidR="00B62FC1" w:rsidRPr="00675C29" w:rsidTr="00CB79BC">
        <w:trPr>
          <w:trHeight w:val="13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FC1" w:rsidRPr="00110158" w:rsidRDefault="00CB79BC" w:rsidP="006D56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 of sign-</w:t>
            </w:r>
            <w:r w:rsidR="00B62FC1" w:rsidRPr="00110158">
              <w:rPr>
                <w:rFonts w:ascii="Arial" w:hAnsi="Arial" w:cs="Arial"/>
                <w:bCs/>
              </w:rPr>
              <w:t>off</w:t>
            </w:r>
          </w:p>
        </w:tc>
        <w:tc>
          <w:tcPr>
            <w:tcW w:w="4985" w:type="dxa"/>
          </w:tcPr>
          <w:p w:rsidR="00B62FC1" w:rsidRPr="00821419" w:rsidRDefault="00CA78FE" w:rsidP="006D56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17th</w:t>
            </w:r>
            <w:r w:rsidR="00A152E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May </w:t>
            </w:r>
            <w:bookmarkStart w:id="0" w:name="_GoBack"/>
            <w:bookmarkEnd w:id="0"/>
            <w:r w:rsidR="00821419" w:rsidRPr="00821419">
              <w:rPr>
                <w:rFonts w:ascii="Arial" w:hAnsi="Arial" w:cs="Arial"/>
                <w:b/>
                <w:bCs/>
              </w:rPr>
              <w:t>2021</w:t>
            </w:r>
          </w:p>
        </w:tc>
      </w:tr>
    </w:tbl>
    <w:p w:rsidR="00B62FC1" w:rsidRDefault="00B62FC1" w:rsidP="00B62FC1">
      <w:pPr>
        <w:rPr>
          <w:rFonts w:ascii="Arial" w:hAnsi="Arial" w:cs="Arial"/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 xml:space="preserve">Who will </w:t>
            </w:r>
            <w:r>
              <w:rPr>
                <w:rFonts w:ascii="Arial" w:hAnsi="Arial" w:cs="Arial"/>
                <w:b/>
              </w:rPr>
              <w:t>deliver the proposal</w:t>
            </w:r>
            <w:r w:rsidRPr="00675C29">
              <w:rPr>
                <w:rFonts w:ascii="Arial" w:hAnsi="Arial" w:cs="Arial"/>
                <w:b/>
              </w:rPr>
              <w:t>?</w:t>
            </w:r>
          </w:p>
        </w:tc>
      </w:tr>
      <w:tr w:rsidR="00B62FC1" w:rsidRPr="00675C29" w:rsidTr="00C158B2">
        <w:tc>
          <w:tcPr>
            <w:tcW w:w="9493" w:type="dxa"/>
          </w:tcPr>
          <w:p w:rsidR="00B62FC1" w:rsidRDefault="00821419" w:rsidP="00CB7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saving is from a budget that is no longer required.</w:t>
            </w: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Pr="00675C29" w:rsidRDefault="00B62FC1" w:rsidP="00B62FC1">
      <w:pPr>
        <w:rPr>
          <w:rFonts w:ascii="Arial" w:hAnsi="Arial" w:cs="Arial"/>
          <w:b/>
          <w:bCs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62FC1">
        <w:rPr>
          <w:rFonts w:ascii="Arial" w:hAnsi="Arial" w:cs="Arial"/>
          <w:b/>
          <w:color w:val="0070C0"/>
        </w:rPr>
        <w:t xml:space="preserve">Section 2: Evidence used </w:t>
      </w:r>
      <w:r w:rsidR="00125EEC">
        <w:rPr>
          <w:rFonts w:ascii="Arial" w:hAnsi="Arial" w:cs="Arial"/>
          <w:b/>
          <w:color w:val="0070C0"/>
        </w:rPr>
        <w:t xml:space="preserve">in the course of carrying out </w:t>
      </w:r>
      <w:r w:rsidR="0034768E">
        <w:rPr>
          <w:rFonts w:ascii="Arial" w:hAnsi="Arial" w:cs="Arial"/>
          <w:b/>
          <w:color w:val="0070C0"/>
          <w:sz w:val="24"/>
          <w:szCs w:val="24"/>
        </w:rPr>
        <w:t>E</w:t>
      </w:r>
      <w:r w:rsidR="00A81748" w:rsidRPr="00A81748">
        <w:rPr>
          <w:rFonts w:ascii="Arial" w:hAnsi="Arial" w:cs="Arial"/>
          <w:b/>
          <w:color w:val="0070C0"/>
          <w:sz w:val="24"/>
          <w:szCs w:val="24"/>
        </w:rPr>
        <w:t>IA</w:t>
      </w:r>
    </w:p>
    <w:p w:rsidR="00CB79BC" w:rsidRPr="005D74E5" w:rsidRDefault="00CB79BC" w:rsidP="00B62FC1">
      <w:pPr>
        <w:jc w:val="center"/>
        <w:rPr>
          <w:rFonts w:ascii="Arial" w:hAnsi="Arial" w:cs="Arial"/>
          <w:b/>
          <w:color w:val="2F5496" w:themeColor="accent5" w:themeShade="BF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Tr="00C158B2">
        <w:tc>
          <w:tcPr>
            <w:tcW w:w="9493" w:type="dxa"/>
          </w:tcPr>
          <w:p w:rsidR="00B62FC1" w:rsidRPr="00110158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lastRenderedPageBreak/>
              <w:t>Consultation / engagement</w:t>
            </w:r>
          </w:p>
        </w:tc>
      </w:tr>
      <w:tr w:rsidR="00B62FC1" w:rsidTr="00C158B2">
        <w:tc>
          <w:tcPr>
            <w:tcW w:w="9493" w:type="dxa"/>
          </w:tcPr>
          <w:p w:rsidR="00B62FC1" w:rsidRDefault="00417CE8" w:rsidP="00CB7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with TSI around how to end the project and whether this would leave gaps, this led to discussion with P</w:t>
            </w:r>
            <w:r w:rsidR="00821419">
              <w:rPr>
                <w:rFonts w:ascii="Arial" w:hAnsi="Arial" w:cs="Arial"/>
              </w:rPr>
              <w:t xml:space="preserve">rimary Care Modernisation Group </w:t>
            </w:r>
            <w:r>
              <w:rPr>
                <w:rFonts w:ascii="Arial" w:hAnsi="Arial" w:cs="Arial"/>
              </w:rPr>
              <w:t>around using dedicated funding of link working with G</w:t>
            </w:r>
            <w:r w:rsidR="005E1E4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s to try and pull these work streams together.</w:t>
            </w:r>
            <w:r w:rsidR="00907691">
              <w:rPr>
                <w:rFonts w:ascii="Arial" w:hAnsi="Arial" w:cs="Arial"/>
              </w:rPr>
              <w:t xml:space="preserve"> Accordingly a short life working group on link working will be established inclusive of the TSI</w:t>
            </w:r>
            <w:r w:rsidR="00821419">
              <w:rPr>
                <w:rFonts w:ascii="Arial" w:hAnsi="Arial" w:cs="Arial"/>
              </w:rPr>
              <w:t>, Primary Care</w:t>
            </w:r>
            <w:r w:rsidR="00907691">
              <w:rPr>
                <w:rFonts w:ascii="Arial" w:hAnsi="Arial" w:cs="Arial"/>
              </w:rPr>
              <w:t xml:space="preserve"> and Public Health. </w:t>
            </w: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Tr="00C158B2">
        <w:tc>
          <w:tcPr>
            <w:tcW w:w="9493" w:type="dxa"/>
          </w:tcPr>
          <w:p w:rsidR="00B62FC1" w:rsidRPr="00110158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Data</w:t>
            </w:r>
          </w:p>
        </w:tc>
      </w:tr>
      <w:tr w:rsidR="00B62FC1" w:rsidTr="00C158B2">
        <w:tc>
          <w:tcPr>
            <w:tcW w:w="9493" w:type="dxa"/>
          </w:tcPr>
          <w:p w:rsidR="00A477ED" w:rsidRDefault="00907691" w:rsidP="00CB7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 of immediate relevance.</w:t>
            </w: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Tr="00C158B2">
        <w:tc>
          <w:tcPr>
            <w:tcW w:w="9493" w:type="dxa"/>
          </w:tcPr>
          <w:p w:rsidR="00B62FC1" w:rsidRPr="00110158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Other information</w:t>
            </w:r>
          </w:p>
        </w:tc>
      </w:tr>
      <w:tr w:rsidR="00B62FC1" w:rsidTr="00C158B2">
        <w:tc>
          <w:tcPr>
            <w:tcW w:w="9493" w:type="dxa"/>
          </w:tcPr>
          <w:p w:rsidR="009A6668" w:rsidRDefault="009A6668" w:rsidP="00CB79BC">
            <w:pPr>
              <w:rPr>
                <w:rFonts w:ascii="Arial" w:hAnsi="Arial" w:cs="Arial"/>
              </w:rPr>
            </w:pP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Tr="00C158B2">
        <w:tc>
          <w:tcPr>
            <w:tcW w:w="9493" w:type="dxa"/>
          </w:tcPr>
          <w:p w:rsidR="00B62FC1" w:rsidRPr="00110158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Gaps in evidence</w:t>
            </w:r>
          </w:p>
        </w:tc>
      </w:tr>
      <w:tr w:rsidR="00B62FC1" w:rsidTr="00C158B2">
        <w:tc>
          <w:tcPr>
            <w:tcW w:w="9493" w:type="dxa"/>
          </w:tcPr>
          <w:p w:rsidR="00B62FC1" w:rsidRDefault="00821419" w:rsidP="00CB79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this stage</w:t>
            </w:r>
            <w:r w:rsidR="005E1E49">
              <w:rPr>
                <w:rFonts w:ascii="Arial" w:hAnsi="Arial" w:cs="Arial"/>
              </w:rPr>
              <w:t xml:space="preserve"> it is envisaged that there will be limited impact following removal of the funding of</w:t>
            </w:r>
            <w:r>
              <w:rPr>
                <w:rFonts w:ascii="Arial" w:hAnsi="Arial" w:cs="Arial"/>
              </w:rPr>
              <w:t xml:space="preserve"> 1000 voices project </w:t>
            </w:r>
            <w:r w:rsidR="005E1E49">
              <w:rPr>
                <w:rFonts w:ascii="Arial" w:hAnsi="Arial" w:cs="Arial"/>
              </w:rPr>
              <w:t>due to the duplication of work already identified</w:t>
            </w:r>
            <w:r>
              <w:rPr>
                <w:rFonts w:ascii="Arial" w:hAnsi="Arial" w:cs="Arial"/>
              </w:rPr>
              <w:t xml:space="preserve">. There is no direct funding </w:t>
            </w:r>
            <w:r w:rsidR="00A152E9">
              <w:rPr>
                <w:rFonts w:ascii="Arial" w:hAnsi="Arial" w:cs="Arial"/>
              </w:rPr>
              <w:t>implication for any community groups</w:t>
            </w:r>
            <w:r>
              <w:rPr>
                <w:rFonts w:ascii="Arial" w:hAnsi="Arial" w:cs="Arial"/>
              </w:rPr>
              <w:t>.</w:t>
            </w: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3: Impact of proposal</w:t>
      </w:r>
    </w:p>
    <w:p w:rsidR="0093189F" w:rsidRPr="00CB79BC" w:rsidRDefault="0093189F" w:rsidP="0093189F">
      <w:pPr>
        <w:rPr>
          <w:rFonts w:ascii="Arial" w:hAnsi="Arial" w:cs="Arial"/>
        </w:rPr>
      </w:pPr>
    </w:p>
    <w:p w:rsidR="00B62FC1" w:rsidRPr="00675C29" w:rsidRDefault="00B62FC1" w:rsidP="00B62FC1">
      <w:pPr>
        <w:rPr>
          <w:rFonts w:ascii="Arial" w:hAnsi="Arial" w:cs="Arial"/>
          <w:b/>
        </w:rPr>
      </w:pPr>
      <w:r w:rsidRPr="00675C29">
        <w:rPr>
          <w:rFonts w:ascii="Arial" w:hAnsi="Arial" w:cs="Arial"/>
          <w:b/>
        </w:rPr>
        <w:t>Impact on service users: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1418"/>
        <w:gridCol w:w="1559"/>
        <w:gridCol w:w="1559"/>
        <w:gridCol w:w="1418"/>
      </w:tblGrid>
      <w:tr w:rsidR="00E74C7E" w:rsidRPr="00675C29" w:rsidTr="003F7B21">
        <w:trPr>
          <w:cantSplit/>
          <w:tblHeader/>
        </w:trPr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Negative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No impact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Positive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Don’t know</w:t>
            </w:r>
          </w:p>
        </w:tc>
      </w:tr>
      <w:tr w:rsidR="00E74C7E" w:rsidRPr="00675C29" w:rsidTr="003F7B21">
        <w:tc>
          <w:tcPr>
            <w:tcW w:w="3397" w:type="dxa"/>
          </w:tcPr>
          <w:p w:rsidR="00E74C7E" w:rsidRPr="00DB5C72" w:rsidRDefault="00E74C7E" w:rsidP="006D5698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Protected characteristics: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Age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Disability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Ethnicity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Gender reassignment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Marriage and Civil Partnership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Pregnancy and Maternity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Religion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Sexual Orientation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DB5C72" w:rsidRDefault="00E74C7E" w:rsidP="006D5698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Fairer Scotland Duty: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Mainland rural population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Island populations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 xml:space="preserve">Low income 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Low wealth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Material deprivation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Area deprivation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Socio-economic background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93189F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place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93189F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interest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5E1E4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p w:rsidR="00C158B2" w:rsidRDefault="00C158B2" w:rsidP="00B62FC1">
      <w:pPr>
        <w:rPr>
          <w:rFonts w:ascii="Arial" w:hAnsi="Arial" w:cs="Arial"/>
        </w:rPr>
      </w:pPr>
    </w:p>
    <w:p w:rsidR="00C158B2" w:rsidRPr="00675C29" w:rsidRDefault="00C158B2" w:rsidP="00B62FC1">
      <w:pPr>
        <w:rPr>
          <w:rFonts w:ascii="Arial" w:hAnsi="Arial" w:cs="Arial"/>
        </w:rPr>
      </w:pPr>
    </w:p>
    <w:p w:rsidR="00B62FC1" w:rsidRPr="00675C29" w:rsidRDefault="00B62FC1" w:rsidP="00B62FC1">
      <w:pPr>
        <w:rPr>
          <w:rFonts w:ascii="Arial" w:hAnsi="Arial" w:cs="Arial"/>
          <w:b/>
        </w:rPr>
      </w:pPr>
      <w:r w:rsidRPr="00675C29">
        <w:rPr>
          <w:rFonts w:ascii="Arial" w:hAnsi="Arial" w:cs="Arial"/>
          <w:b/>
        </w:rPr>
        <w:t xml:space="preserve">Impact on </w:t>
      </w:r>
      <w:r w:rsidR="00DB5C72">
        <w:rPr>
          <w:rFonts w:ascii="Arial" w:hAnsi="Arial" w:cs="Arial"/>
          <w:b/>
        </w:rPr>
        <w:t>service deliverers (</w:t>
      </w:r>
      <w:r w:rsidR="0041644A">
        <w:rPr>
          <w:rFonts w:ascii="Arial" w:hAnsi="Arial" w:cs="Arial"/>
          <w:b/>
        </w:rPr>
        <w:t>including</w:t>
      </w:r>
      <w:r w:rsidR="00DB5C72">
        <w:rPr>
          <w:rFonts w:ascii="Arial" w:hAnsi="Arial" w:cs="Arial"/>
          <w:b/>
        </w:rPr>
        <w:t xml:space="preserve"> </w:t>
      </w:r>
      <w:r w:rsidRPr="00675C29">
        <w:rPr>
          <w:rFonts w:ascii="Arial" w:hAnsi="Arial" w:cs="Arial"/>
          <w:b/>
        </w:rPr>
        <w:t>employees</w:t>
      </w:r>
      <w:r w:rsidR="00DB5C72">
        <w:rPr>
          <w:rFonts w:ascii="Arial" w:hAnsi="Arial" w:cs="Arial"/>
          <w:b/>
        </w:rPr>
        <w:t>, volunteers etc</w:t>
      </w:r>
      <w:r w:rsidR="00CB79BC">
        <w:rPr>
          <w:rFonts w:ascii="Arial" w:hAnsi="Arial" w:cs="Arial"/>
          <w:b/>
        </w:rPr>
        <w:t>.</w:t>
      </w:r>
      <w:r w:rsidR="00DB5C72">
        <w:rPr>
          <w:rFonts w:ascii="Arial" w:hAnsi="Arial" w:cs="Arial"/>
          <w:b/>
        </w:rPr>
        <w:t>)</w:t>
      </w:r>
      <w:r w:rsidRPr="00675C29">
        <w:rPr>
          <w:rFonts w:ascii="Arial" w:hAnsi="Arial" w:cs="Arial"/>
          <w:b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1418"/>
        <w:gridCol w:w="1701"/>
        <w:gridCol w:w="1276"/>
        <w:gridCol w:w="1559"/>
      </w:tblGrid>
      <w:tr w:rsidR="003F7B21" w:rsidRPr="00675C29" w:rsidTr="003F7B21">
        <w:trPr>
          <w:cantSplit/>
          <w:tblHeader/>
        </w:trPr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Negative</w:t>
            </w: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No impact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Positive</w:t>
            </w: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Don’t know</w:t>
            </w:r>
          </w:p>
        </w:tc>
      </w:tr>
      <w:tr w:rsidR="003F7B21" w:rsidRPr="00675C29" w:rsidTr="003F7B21">
        <w:tc>
          <w:tcPr>
            <w:tcW w:w="3397" w:type="dxa"/>
          </w:tcPr>
          <w:p w:rsidR="003F7B21" w:rsidRPr="00DB5C72" w:rsidRDefault="003F7B21" w:rsidP="006D5698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Protected characteristics: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Age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Disability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Ethnicity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Gender reassignment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Marriage and Civil Partnership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Pregnancy and Maternity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Religion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Sexual Orientation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DB5C72" w:rsidRDefault="003F7B21" w:rsidP="006D5698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lastRenderedPageBreak/>
              <w:t>Fairer Scotland Duty: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Mainland rural population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Island populations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 xml:space="preserve">Low income 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Low wealth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Material deprivation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Area deprivation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Socio-economic background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93189F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place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93189F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interest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821419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</w:tbl>
    <w:p w:rsidR="00B62FC1" w:rsidRPr="00675C29" w:rsidRDefault="00B62FC1" w:rsidP="00B62FC1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62FC1" w:rsidTr="00C158B2">
        <w:tc>
          <w:tcPr>
            <w:tcW w:w="9351" w:type="dxa"/>
          </w:tcPr>
          <w:p w:rsidR="00B62FC1" w:rsidRPr="00110158" w:rsidRDefault="00392747" w:rsidP="00D03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any ‘don’t </w:t>
            </w:r>
            <w:r w:rsidR="00125EEC">
              <w:rPr>
                <w:rFonts w:ascii="Arial" w:hAnsi="Arial" w:cs="Arial"/>
                <w:b/>
              </w:rPr>
              <w:t>knows</w:t>
            </w:r>
            <w:r>
              <w:rPr>
                <w:rFonts w:ascii="Arial" w:hAnsi="Arial" w:cs="Arial"/>
                <w:b/>
              </w:rPr>
              <w:t xml:space="preserve"> have been identified, at what point will impacts on these groups become identifiable?</w:t>
            </w:r>
          </w:p>
        </w:tc>
      </w:tr>
      <w:tr w:rsidR="00B62FC1" w:rsidTr="00C158B2">
        <w:tc>
          <w:tcPr>
            <w:tcW w:w="9351" w:type="dxa"/>
          </w:tcPr>
          <w:p w:rsidR="00D03F99" w:rsidRDefault="00417CE8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is no funding being taken from any community groups or activities and we hope to </w:t>
            </w:r>
            <w:r w:rsidR="005E1E49">
              <w:rPr>
                <w:rFonts w:ascii="Arial" w:hAnsi="Arial" w:cs="Arial"/>
              </w:rPr>
              <w:t>develop better</w:t>
            </w:r>
            <w:r w:rsidR="00907691">
              <w:rPr>
                <w:rFonts w:ascii="Arial" w:hAnsi="Arial" w:cs="Arial"/>
              </w:rPr>
              <w:t xml:space="preserve"> co-ordinati</w:t>
            </w:r>
            <w:r w:rsidR="005E1E49">
              <w:rPr>
                <w:rFonts w:ascii="Arial" w:hAnsi="Arial" w:cs="Arial"/>
              </w:rPr>
              <w:t>on</w:t>
            </w:r>
            <w:r w:rsidR="00907691">
              <w:rPr>
                <w:rFonts w:ascii="Arial" w:hAnsi="Arial" w:cs="Arial"/>
              </w:rPr>
              <w:t xml:space="preserve"> and linking </w:t>
            </w:r>
            <w:r w:rsidR="0077536C">
              <w:rPr>
                <w:rFonts w:ascii="Arial" w:hAnsi="Arial" w:cs="Arial"/>
              </w:rPr>
              <w:t xml:space="preserve">of </w:t>
            </w:r>
            <w:r w:rsidR="00907691">
              <w:rPr>
                <w:rFonts w:ascii="Arial" w:hAnsi="Arial" w:cs="Arial"/>
              </w:rPr>
              <w:t>task</w:t>
            </w:r>
            <w:r w:rsidR="0077536C">
              <w:rPr>
                <w:rFonts w:ascii="Arial" w:hAnsi="Arial" w:cs="Arial"/>
              </w:rPr>
              <w:t>s</w:t>
            </w:r>
            <w:r w:rsidR="00907691">
              <w:rPr>
                <w:rFonts w:ascii="Arial" w:hAnsi="Arial" w:cs="Arial"/>
              </w:rPr>
              <w:t xml:space="preserve"> </w:t>
            </w:r>
            <w:r w:rsidR="0077536C">
              <w:rPr>
                <w:rFonts w:ascii="Arial" w:hAnsi="Arial" w:cs="Arial"/>
              </w:rPr>
              <w:t>through</w:t>
            </w:r>
            <w:r w:rsidR="00907691">
              <w:rPr>
                <w:rFonts w:ascii="Arial" w:hAnsi="Arial" w:cs="Arial"/>
              </w:rPr>
              <w:t xml:space="preserve"> a short life working group</w:t>
            </w:r>
            <w:r w:rsidR="00380C58">
              <w:rPr>
                <w:rFonts w:ascii="Arial" w:hAnsi="Arial" w:cs="Arial"/>
              </w:rPr>
              <w:t xml:space="preserve"> to advance community assets and prevention for older adults.</w:t>
            </w:r>
          </w:p>
          <w:p w:rsidR="00CB79BC" w:rsidRPr="00CB79BC" w:rsidRDefault="00CB79BC" w:rsidP="006D5698">
            <w:pPr>
              <w:rPr>
                <w:rFonts w:ascii="Arial" w:hAnsi="Arial" w:cs="Arial"/>
              </w:rPr>
            </w:pPr>
          </w:p>
        </w:tc>
      </w:tr>
    </w:tbl>
    <w:p w:rsidR="00B62FC1" w:rsidRPr="00675C29" w:rsidRDefault="00B62FC1" w:rsidP="00B62FC1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62FC1" w:rsidRPr="00675C29" w:rsidTr="00C158B2">
        <w:tc>
          <w:tcPr>
            <w:tcW w:w="9351" w:type="dxa"/>
          </w:tcPr>
          <w:p w:rsidR="00B62FC1" w:rsidRPr="00110158" w:rsidRDefault="00392747" w:rsidP="00471C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has ‘due regard’ been given to any negative impacts</w:t>
            </w:r>
            <w:r w:rsidR="00471C4C">
              <w:rPr>
                <w:rFonts w:ascii="Arial" w:hAnsi="Arial" w:cs="Arial"/>
                <w:b/>
              </w:rPr>
              <w:t xml:space="preserve"> that have been identified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B62FC1" w:rsidRPr="00675C29" w:rsidTr="00C158B2">
        <w:tc>
          <w:tcPr>
            <w:tcW w:w="9351" w:type="dxa"/>
          </w:tcPr>
          <w:p w:rsidR="00B62FC1" w:rsidRPr="00CB79BC" w:rsidRDefault="00B62FC1" w:rsidP="00392747">
            <w:pPr>
              <w:rPr>
                <w:rFonts w:ascii="Arial" w:hAnsi="Arial" w:cs="Arial"/>
              </w:rPr>
            </w:pPr>
          </w:p>
          <w:p w:rsidR="00CB79BC" w:rsidRPr="00CB79BC" w:rsidRDefault="00CB79BC" w:rsidP="00392747">
            <w:pPr>
              <w:rPr>
                <w:rFonts w:ascii="Arial" w:hAnsi="Arial" w:cs="Arial"/>
              </w:rPr>
            </w:pPr>
          </w:p>
        </w:tc>
      </w:tr>
    </w:tbl>
    <w:p w:rsidR="00B62FC1" w:rsidRPr="00675C29" w:rsidRDefault="00B62FC1" w:rsidP="00B62FC1">
      <w:pPr>
        <w:rPr>
          <w:rFonts w:ascii="Arial" w:hAnsi="Arial" w:cs="Arial"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4: Interdependencies</w:t>
      </w:r>
    </w:p>
    <w:p w:rsidR="00CB79BC" w:rsidRDefault="00CB79BC" w:rsidP="00B62FC1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B62FC1" w:rsidTr="00CB79BC">
        <w:tc>
          <w:tcPr>
            <w:tcW w:w="4957" w:type="dxa"/>
          </w:tcPr>
          <w:p w:rsidR="00B62FC1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Is this p</w:t>
            </w:r>
            <w:r w:rsidR="00D03F99">
              <w:rPr>
                <w:rFonts w:ascii="Arial" w:hAnsi="Arial" w:cs="Arial"/>
                <w:b/>
              </w:rPr>
              <w:t xml:space="preserve">roposal </w:t>
            </w:r>
            <w:r w:rsidRPr="00110158">
              <w:rPr>
                <w:rFonts w:ascii="Arial" w:hAnsi="Arial" w:cs="Arial"/>
                <w:b/>
              </w:rPr>
              <w:t>likely to have any knock-on effects for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0158">
              <w:rPr>
                <w:rFonts w:ascii="Arial" w:hAnsi="Arial" w:cs="Arial"/>
                <w:b/>
              </w:rPr>
              <w:t>any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03F99">
              <w:rPr>
                <w:rFonts w:ascii="Arial" w:hAnsi="Arial" w:cs="Arial"/>
                <w:b/>
              </w:rPr>
              <w:t xml:space="preserve">other </w:t>
            </w:r>
            <w:r w:rsidRPr="00110158">
              <w:rPr>
                <w:rFonts w:ascii="Arial" w:hAnsi="Arial" w:cs="Arial"/>
                <w:b/>
              </w:rPr>
              <w:t xml:space="preserve">activities </w:t>
            </w:r>
            <w:r w:rsidR="00D03F99">
              <w:rPr>
                <w:rFonts w:ascii="Arial" w:hAnsi="Arial" w:cs="Arial"/>
                <w:b/>
              </w:rPr>
              <w:t xml:space="preserve">carried out by or on behalf </w:t>
            </w:r>
            <w:r w:rsidR="00CE7A59">
              <w:rPr>
                <w:rFonts w:ascii="Arial" w:hAnsi="Arial" w:cs="Arial"/>
                <w:b/>
              </w:rPr>
              <w:t>of the HSCP</w:t>
            </w:r>
            <w:r w:rsidR="00C158B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394" w:type="dxa"/>
          </w:tcPr>
          <w:p w:rsidR="00B62FC1" w:rsidRPr="00CB79BC" w:rsidRDefault="00907691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Really keen to maintain a focus on prevention and early intervention and w</w:t>
            </w:r>
            <w:r w:rsidR="00CA78FE">
              <w:rPr>
                <w:rFonts w:ascii="Arial" w:hAnsi="Arial" w:cs="Arial"/>
              </w:rPr>
              <w:t>e hope to do this through the Community Assets Group. Separately work is also being carried out on Grant funding.</w:t>
            </w:r>
          </w:p>
        </w:tc>
      </w:tr>
    </w:tbl>
    <w:p w:rsidR="00B62FC1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62FC1" w:rsidRPr="00675C29" w:rsidTr="00CB79BC">
        <w:tc>
          <w:tcPr>
            <w:tcW w:w="9351" w:type="dxa"/>
          </w:tcPr>
          <w:p w:rsidR="00B62FC1" w:rsidRPr="005D74E5" w:rsidRDefault="00144B0D" w:rsidP="00144B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knock-on effects identified</w:t>
            </w:r>
          </w:p>
        </w:tc>
      </w:tr>
      <w:tr w:rsidR="00B62FC1" w:rsidRPr="00675C29" w:rsidTr="00CB79BC">
        <w:tc>
          <w:tcPr>
            <w:tcW w:w="9351" w:type="dxa"/>
          </w:tcPr>
          <w:p w:rsidR="00B62FC1" w:rsidRDefault="0077536C" w:rsidP="00125E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Links to Primary Care Link Workers and the wider community assets developments for older adults will enable this work to continue without detriment to service users.</w:t>
            </w:r>
          </w:p>
          <w:p w:rsidR="00CB79BC" w:rsidRPr="00675C29" w:rsidRDefault="00CB79BC" w:rsidP="00125EEC">
            <w:pPr>
              <w:rPr>
                <w:rFonts w:ascii="Arial" w:hAnsi="Arial" w:cs="Arial"/>
              </w:rPr>
            </w:pPr>
          </w:p>
        </w:tc>
      </w:tr>
    </w:tbl>
    <w:p w:rsidR="00B62FC1" w:rsidRPr="00675C29" w:rsidRDefault="00B62FC1" w:rsidP="00B62FC1">
      <w:pPr>
        <w:rPr>
          <w:rFonts w:ascii="Arial" w:hAnsi="Arial" w:cs="Arial"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5: Monitoring and review</w:t>
      </w:r>
    </w:p>
    <w:p w:rsidR="00CB79BC" w:rsidRDefault="00CB79BC" w:rsidP="00B62FC1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62FC1" w:rsidRPr="00675C29" w:rsidTr="00C158B2">
        <w:tc>
          <w:tcPr>
            <w:tcW w:w="9351" w:type="dxa"/>
          </w:tcPr>
          <w:p w:rsidR="00B62FC1" w:rsidRPr="00144B0D" w:rsidRDefault="00392747" w:rsidP="006D5698">
            <w:pPr>
              <w:rPr>
                <w:rFonts w:ascii="Arial" w:hAnsi="Arial" w:cs="Arial"/>
                <w:b/>
              </w:rPr>
            </w:pPr>
            <w:r w:rsidRPr="00144B0D">
              <w:rPr>
                <w:rFonts w:ascii="Arial" w:hAnsi="Arial" w:cs="Arial"/>
                <w:b/>
              </w:rPr>
              <w:t>Monitoring and review</w:t>
            </w:r>
          </w:p>
        </w:tc>
      </w:tr>
      <w:tr w:rsidR="00B62FC1" w:rsidRPr="00675C29" w:rsidTr="00C158B2">
        <w:tc>
          <w:tcPr>
            <w:tcW w:w="9351" w:type="dxa"/>
          </w:tcPr>
          <w:p w:rsidR="00D03F99" w:rsidRPr="00CB79BC" w:rsidRDefault="00D03F99" w:rsidP="00C158B2">
            <w:pPr>
              <w:rPr>
                <w:rFonts w:ascii="Arial" w:hAnsi="Arial" w:cs="Arial"/>
              </w:rPr>
            </w:pPr>
          </w:p>
          <w:p w:rsidR="00CB79BC" w:rsidRPr="00CB79BC" w:rsidRDefault="0077536C" w:rsidP="007753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907691">
              <w:rPr>
                <w:rFonts w:ascii="Arial" w:hAnsi="Arial" w:cs="Arial"/>
              </w:rPr>
              <w:t xml:space="preserve">coping </w:t>
            </w:r>
            <w:r>
              <w:rPr>
                <w:rFonts w:ascii="Arial" w:hAnsi="Arial" w:cs="Arial"/>
              </w:rPr>
              <w:t xml:space="preserve">and </w:t>
            </w:r>
            <w:r w:rsidR="00907691">
              <w:rPr>
                <w:rFonts w:ascii="Arial" w:hAnsi="Arial" w:cs="Arial"/>
              </w:rPr>
              <w:t>oversight of early intervention and prevention through th</w:t>
            </w:r>
            <w:r>
              <w:rPr>
                <w:rFonts w:ascii="Arial" w:hAnsi="Arial" w:cs="Arial"/>
              </w:rPr>
              <w:t>e</w:t>
            </w:r>
            <w:r w:rsidR="00CA78FE">
              <w:rPr>
                <w:rFonts w:ascii="Arial" w:hAnsi="Arial" w:cs="Arial"/>
              </w:rPr>
              <w:t xml:space="preserve"> Community Asset Group. Re</w:t>
            </w:r>
            <w:r w:rsidR="00907691">
              <w:rPr>
                <w:rFonts w:ascii="Arial" w:hAnsi="Arial" w:cs="Arial"/>
              </w:rPr>
              <w:t>viewing processes for grant</w:t>
            </w:r>
            <w:r>
              <w:rPr>
                <w:rFonts w:ascii="Arial" w:hAnsi="Arial" w:cs="Arial"/>
              </w:rPr>
              <w:t xml:space="preserve"> allocation across the HSCP</w:t>
            </w:r>
            <w:r w:rsidR="00907691">
              <w:rPr>
                <w:rFonts w:ascii="Arial" w:hAnsi="Arial" w:cs="Arial"/>
              </w:rPr>
              <w:t xml:space="preserve"> to ensure better management of this process for community groups.</w:t>
            </w:r>
          </w:p>
        </w:tc>
      </w:tr>
    </w:tbl>
    <w:p w:rsidR="000B0245" w:rsidRPr="006360FA" w:rsidRDefault="000B0245" w:rsidP="006360FA"/>
    <w:sectPr w:rsidR="000B0245" w:rsidRPr="006360FA" w:rsidSect="006360FA">
      <w:footerReference w:type="default" r:id="rId9"/>
      <w:pgSz w:w="11907" w:h="16839" w:code="9"/>
      <w:pgMar w:top="567" w:right="1440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382" w:rsidRDefault="00926382" w:rsidP="00E51AD6">
      <w:r>
        <w:separator/>
      </w:r>
    </w:p>
  </w:endnote>
  <w:endnote w:type="continuationSeparator" w:id="0">
    <w:p w:rsidR="00926382" w:rsidRDefault="00926382" w:rsidP="00E5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BC" w:rsidRDefault="00CB79BC">
    <w:pPr>
      <w:pStyle w:val="Footer"/>
    </w:pPr>
    <w:r>
      <w:t>Version July 2019, to be reviewed 2022</w:t>
    </w:r>
  </w:p>
  <w:p w:rsidR="00CB79BC" w:rsidRDefault="00CB79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382" w:rsidRDefault="00926382" w:rsidP="00E51AD6">
      <w:r>
        <w:separator/>
      </w:r>
    </w:p>
  </w:footnote>
  <w:footnote w:type="continuationSeparator" w:id="0">
    <w:p w:rsidR="00926382" w:rsidRDefault="00926382" w:rsidP="00E5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031"/>
    <w:multiLevelType w:val="hybridMultilevel"/>
    <w:tmpl w:val="F7FAE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D4907"/>
    <w:multiLevelType w:val="hybridMultilevel"/>
    <w:tmpl w:val="BFFA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F03C0"/>
    <w:multiLevelType w:val="hybridMultilevel"/>
    <w:tmpl w:val="3B2C7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E09D1"/>
    <w:multiLevelType w:val="hybridMultilevel"/>
    <w:tmpl w:val="6B3EBE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C23F4"/>
    <w:multiLevelType w:val="hybridMultilevel"/>
    <w:tmpl w:val="0FB2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66296"/>
    <w:multiLevelType w:val="multilevel"/>
    <w:tmpl w:val="BDA0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F78A3"/>
    <w:multiLevelType w:val="hybridMultilevel"/>
    <w:tmpl w:val="A30C7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56C2"/>
    <w:multiLevelType w:val="hybridMultilevel"/>
    <w:tmpl w:val="44B66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06C60"/>
    <w:multiLevelType w:val="hybridMultilevel"/>
    <w:tmpl w:val="E64CA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37B2E"/>
    <w:multiLevelType w:val="hybridMultilevel"/>
    <w:tmpl w:val="D2441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013"/>
    <w:multiLevelType w:val="hybridMultilevel"/>
    <w:tmpl w:val="663C7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24E9"/>
    <w:multiLevelType w:val="multilevel"/>
    <w:tmpl w:val="771A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C5A29"/>
    <w:multiLevelType w:val="hybridMultilevel"/>
    <w:tmpl w:val="D158B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50E17"/>
    <w:multiLevelType w:val="hybridMultilevel"/>
    <w:tmpl w:val="928A5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76284"/>
    <w:multiLevelType w:val="hybridMultilevel"/>
    <w:tmpl w:val="38ACA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775A9"/>
    <w:multiLevelType w:val="hybridMultilevel"/>
    <w:tmpl w:val="A6D81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D2063"/>
    <w:multiLevelType w:val="hybridMultilevel"/>
    <w:tmpl w:val="6A40A0BA"/>
    <w:lvl w:ilvl="0" w:tplc="99E69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A3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D29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9C6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E04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4B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0CB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2A5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E40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5AA7E1F"/>
    <w:multiLevelType w:val="hybridMultilevel"/>
    <w:tmpl w:val="61EE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74E4E"/>
    <w:multiLevelType w:val="hybridMultilevel"/>
    <w:tmpl w:val="87EC1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55FBF"/>
    <w:multiLevelType w:val="hybridMultilevel"/>
    <w:tmpl w:val="BAAE55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56A50"/>
    <w:multiLevelType w:val="hybridMultilevel"/>
    <w:tmpl w:val="95A45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A3B3D"/>
    <w:multiLevelType w:val="hybridMultilevel"/>
    <w:tmpl w:val="6044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F6BEF"/>
    <w:multiLevelType w:val="hybridMultilevel"/>
    <w:tmpl w:val="0D9C9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D69C7"/>
    <w:multiLevelType w:val="hybridMultilevel"/>
    <w:tmpl w:val="674EB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723A85"/>
    <w:multiLevelType w:val="hybridMultilevel"/>
    <w:tmpl w:val="56767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1"/>
  </w:num>
  <w:num w:numId="4">
    <w:abstractNumId w:val="7"/>
  </w:num>
  <w:num w:numId="5">
    <w:abstractNumId w:val="13"/>
  </w:num>
  <w:num w:numId="6">
    <w:abstractNumId w:val="12"/>
  </w:num>
  <w:num w:numId="7">
    <w:abstractNumId w:val="1"/>
  </w:num>
  <w:num w:numId="8">
    <w:abstractNumId w:val="15"/>
  </w:num>
  <w:num w:numId="9">
    <w:abstractNumId w:val="4"/>
  </w:num>
  <w:num w:numId="10">
    <w:abstractNumId w:val="24"/>
  </w:num>
  <w:num w:numId="11">
    <w:abstractNumId w:val="17"/>
  </w:num>
  <w:num w:numId="12">
    <w:abstractNumId w:val="6"/>
  </w:num>
  <w:num w:numId="13">
    <w:abstractNumId w:val="22"/>
  </w:num>
  <w:num w:numId="14">
    <w:abstractNumId w:val="14"/>
  </w:num>
  <w:num w:numId="15">
    <w:abstractNumId w:val="9"/>
  </w:num>
  <w:num w:numId="16">
    <w:abstractNumId w:val="20"/>
  </w:num>
  <w:num w:numId="17">
    <w:abstractNumId w:val="3"/>
  </w:num>
  <w:num w:numId="18">
    <w:abstractNumId w:val="16"/>
  </w:num>
  <w:num w:numId="19">
    <w:abstractNumId w:val="11"/>
  </w:num>
  <w:num w:numId="20">
    <w:abstractNumId w:val="0"/>
  </w:num>
  <w:num w:numId="21">
    <w:abstractNumId w:val="18"/>
  </w:num>
  <w:num w:numId="22">
    <w:abstractNumId w:val="19"/>
  </w:num>
  <w:num w:numId="23">
    <w:abstractNumId w:val="2"/>
  </w:num>
  <w:num w:numId="24">
    <w:abstractNumId w:val="5"/>
  </w:num>
  <w:num w:numId="25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E2"/>
    <w:rsid w:val="000011F4"/>
    <w:rsid w:val="00002F80"/>
    <w:rsid w:val="000079BF"/>
    <w:rsid w:val="00012751"/>
    <w:rsid w:val="00012D76"/>
    <w:rsid w:val="000279A8"/>
    <w:rsid w:val="000309BF"/>
    <w:rsid w:val="00060174"/>
    <w:rsid w:val="00062965"/>
    <w:rsid w:val="00081100"/>
    <w:rsid w:val="00085F66"/>
    <w:rsid w:val="00087B69"/>
    <w:rsid w:val="00087C6F"/>
    <w:rsid w:val="00091705"/>
    <w:rsid w:val="00097733"/>
    <w:rsid w:val="000A3235"/>
    <w:rsid w:val="000B0245"/>
    <w:rsid w:val="000B0610"/>
    <w:rsid w:val="000E6613"/>
    <w:rsid w:val="000F5F34"/>
    <w:rsid w:val="000F782D"/>
    <w:rsid w:val="001015A5"/>
    <w:rsid w:val="001022E3"/>
    <w:rsid w:val="00123DCB"/>
    <w:rsid w:val="001254A8"/>
    <w:rsid w:val="00125EEC"/>
    <w:rsid w:val="0012615B"/>
    <w:rsid w:val="001301F3"/>
    <w:rsid w:val="0013116C"/>
    <w:rsid w:val="00144B0D"/>
    <w:rsid w:val="001501FD"/>
    <w:rsid w:val="001545A2"/>
    <w:rsid w:val="00164675"/>
    <w:rsid w:val="00171743"/>
    <w:rsid w:val="00172BA0"/>
    <w:rsid w:val="0017311B"/>
    <w:rsid w:val="00174E71"/>
    <w:rsid w:val="00174F8B"/>
    <w:rsid w:val="00177DB4"/>
    <w:rsid w:val="00187B26"/>
    <w:rsid w:val="0019022B"/>
    <w:rsid w:val="00197250"/>
    <w:rsid w:val="001A03B8"/>
    <w:rsid w:val="001A2B11"/>
    <w:rsid w:val="001A47AA"/>
    <w:rsid w:val="001B1C62"/>
    <w:rsid w:val="001B6A24"/>
    <w:rsid w:val="001B7248"/>
    <w:rsid w:val="001B793A"/>
    <w:rsid w:val="001C29B5"/>
    <w:rsid w:val="001D30CE"/>
    <w:rsid w:val="001F5152"/>
    <w:rsid w:val="002119CC"/>
    <w:rsid w:val="00215A73"/>
    <w:rsid w:val="0021691A"/>
    <w:rsid w:val="00240975"/>
    <w:rsid w:val="00251D2D"/>
    <w:rsid w:val="00252D5E"/>
    <w:rsid w:val="0027462C"/>
    <w:rsid w:val="002775AF"/>
    <w:rsid w:val="002848C9"/>
    <w:rsid w:val="002A1A45"/>
    <w:rsid w:val="002B0B68"/>
    <w:rsid w:val="002B0DED"/>
    <w:rsid w:val="002B0EAA"/>
    <w:rsid w:val="002B1F81"/>
    <w:rsid w:val="002C1492"/>
    <w:rsid w:val="002C4315"/>
    <w:rsid w:val="002D3732"/>
    <w:rsid w:val="002E537C"/>
    <w:rsid w:val="002E7BE9"/>
    <w:rsid w:val="002F073E"/>
    <w:rsid w:val="002F1132"/>
    <w:rsid w:val="002F6CE4"/>
    <w:rsid w:val="00300304"/>
    <w:rsid w:val="0030392A"/>
    <w:rsid w:val="00307164"/>
    <w:rsid w:val="003144F1"/>
    <w:rsid w:val="003308DD"/>
    <w:rsid w:val="00331C39"/>
    <w:rsid w:val="00336B5E"/>
    <w:rsid w:val="00344439"/>
    <w:rsid w:val="0034768E"/>
    <w:rsid w:val="00355589"/>
    <w:rsid w:val="00360C73"/>
    <w:rsid w:val="00380C58"/>
    <w:rsid w:val="00382A15"/>
    <w:rsid w:val="00384C73"/>
    <w:rsid w:val="00390104"/>
    <w:rsid w:val="00392747"/>
    <w:rsid w:val="003B3B62"/>
    <w:rsid w:val="003C55FC"/>
    <w:rsid w:val="003E2DCC"/>
    <w:rsid w:val="003E62D9"/>
    <w:rsid w:val="003F7B21"/>
    <w:rsid w:val="00401A8C"/>
    <w:rsid w:val="004102C0"/>
    <w:rsid w:val="0041128C"/>
    <w:rsid w:val="0041644A"/>
    <w:rsid w:val="00417CE8"/>
    <w:rsid w:val="00424A96"/>
    <w:rsid w:val="00433226"/>
    <w:rsid w:val="00434AD4"/>
    <w:rsid w:val="0043798F"/>
    <w:rsid w:val="00445E56"/>
    <w:rsid w:val="00465172"/>
    <w:rsid w:val="00465203"/>
    <w:rsid w:val="004704E4"/>
    <w:rsid w:val="00471C4C"/>
    <w:rsid w:val="00473731"/>
    <w:rsid w:val="00476AD4"/>
    <w:rsid w:val="00476DF4"/>
    <w:rsid w:val="00481822"/>
    <w:rsid w:val="004850BA"/>
    <w:rsid w:val="004971F9"/>
    <w:rsid w:val="004D0776"/>
    <w:rsid w:val="004D2B14"/>
    <w:rsid w:val="004D2CF6"/>
    <w:rsid w:val="00503C44"/>
    <w:rsid w:val="005060BE"/>
    <w:rsid w:val="00511202"/>
    <w:rsid w:val="005166F6"/>
    <w:rsid w:val="005217C9"/>
    <w:rsid w:val="00523059"/>
    <w:rsid w:val="0052383C"/>
    <w:rsid w:val="00524CAD"/>
    <w:rsid w:val="005308AB"/>
    <w:rsid w:val="00531730"/>
    <w:rsid w:val="005472E7"/>
    <w:rsid w:val="005479B4"/>
    <w:rsid w:val="005635D2"/>
    <w:rsid w:val="0056488D"/>
    <w:rsid w:val="00564E6B"/>
    <w:rsid w:val="00567293"/>
    <w:rsid w:val="00571C6C"/>
    <w:rsid w:val="005A0B08"/>
    <w:rsid w:val="005D3CED"/>
    <w:rsid w:val="005D481B"/>
    <w:rsid w:val="005D73A1"/>
    <w:rsid w:val="005E1E49"/>
    <w:rsid w:val="00615348"/>
    <w:rsid w:val="00616F85"/>
    <w:rsid w:val="00626524"/>
    <w:rsid w:val="006360FA"/>
    <w:rsid w:val="00663E06"/>
    <w:rsid w:val="006748B1"/>
    <w:rsid w:val="00692065"/>
    <w:rsid w:val="006A1C33"/>
    <w:rsid w:val="006B3895"/>
    <w:rsid w:val="006B3DF1"/>
    <w:rsid w:val="006C0EFD"/>
    <w:rsid w:val="006C1529"/>
    <w:rsid w:val="006C4165"/>
    <w:rsid w:val="006C6EB2"/>
    <w:rsid w:val="006D5698"/>
    <w:rsid w:val="006E575F"/>
    <w:rsid w:val="006E5C39"/>
    <w:rsid w:val="006F1192"/>
    <w:rsid w:val="00710926"/>
    <w:rsid w:val="007115B2"/>
    <w:rsid w:val="00712256"/>
    <w:rsid w:val="0072193F"/>
    <w:rsid w:val="00721ADB"/>
    <w:rsid w:val="0073591B"/>
    <w:rsid w:val="00743370"/>
    <w:rsid w:val="00745E09"/>
    <w:rsid w:val="00746920"/>
    <w:rsid w:val="00747840"/>
    <w:rsid w:val="00752BB1"/>
    <w:rsid w:val="0075317D"/>
    <w:rsid w:val="00756A46"/>
    <w:rsid w:val="007603D9"/>
    <w:rsid w:val="0077536C"/>
    <w:rsid w:val="0078521F"/>
    <w:rsid w:val="00787E96"/>
    <w:rsid w:val="0079270E"/>
    <w:rsid w:val="007A5D58"/>
    <w:rsid w:val="007C13C3"/>
    <w:rsid w:val="007C2666"/>
    <w:rsid w:val="007C5742"/>
    <w:rsid w:val="007E21FC"/>
    <w:rsid w:val="007E222F"/>
    <w:rsid w:val="007E4325"/>
    <w:rsid w:val="007E62D2"/>
    <w:rsid w:val="008005BD"/>
    <w:rsid w:val="008077E3"/>
    <w:rsid w:val="00814469"/>
    <w:rsid w:val="00816744"/>
    <w:rsid w:val="00821419"/>
    <w:rsid w:val="00840955"/>
    <w:rsid w:val="008450D0"/>
    <w:rsid w:val="00846EA6"/>
    <w:rsid w:val="008519A5"/>
    <w:rsid w:val="0086372D"/>
    <w:rsid w:val="00865159"/>
    <w:rsid w:val="0087155B"/>
    <w:rsid w:val="00881412"/>
    <w:rsid w:val="00887E53"/>
    <w:rsid w:val="008946EA"/>
    <w:rsid w:val="008A1A86"/>
    <w:rsid w:val="008A212E"/>
    <w:rsid w:val="008A551C"/>
    <w:rsid w:val="008B4DE0"/>
    <w:rsid w:val="008B6E80"/>
    <w:rsid w:val="008C08C5"/>
    <w:rsid w:val="008C1576"/>
    <w:rsid w:val="008C5204"/>
    <w:rsid w:val="008C745F"/>
    <w:rsid w:val="008D4B25"/>
    <w:rsid w:val="008E3AFD"/>
    <w:rsid w:val="008E52FF"/>
    <w:rsid w:val="008E5630"/>
    <w:rsid w:val="008E7D6B"/>
    <w:rsid w:val="00907691"/>
    <w:rsid w:val="0091045B"/>
    <w:rsid w:val="00911C41"/>
    <w:rsid w:val="009121B5"/>
    <w:rsid w:val="00916621"/>
    <w:rsid w:val="009166FA"/>
    <w:rsid w:val="0092161A"/>
    <w:rsid w:val="00926382"/>
    <w:rsid w:val="00926A8E"/>
    <w:rsid w:val="00926AD9"/>
    <w:rsid w:val="0093189F"/>
    <w:rsid w:val="00940063"/>
    <w:rsid w:val="00944728"/>
    <w:rsid w:val="009450DB"/>
    <w:rsid w:val="009472F4"/>
    <w:rsid w:val="0095564C"/>
    <w:rsid w:val="00957071"/>
    <w:rsid w:val="00960CEB"/>
    <w:rsid w:val="00961D7A"/>
    <w:rsid w:val="00962D38"/>
    <w:rsid w:val="00964CC9"/>
    <w:rsid w:val="00970C73"/>
    <w:rsid w:val="009764BE"/>
    <w:rsid w:val="00977082"/>
    <w:rsid w:val="00985C18"/>
    <w:rsid w:val="00986475"/>
    <w:rsid w:val="00994623"/>
    <w:rsid w:val="00995AC0"/>
    <w:rsid w:val="009A11E9"/>
    <w:rsid w:val="009A6668"/>
    <w:rsid w:val="009C4841"/>
    <w:rsid w:val="009C5D3C"/>
    <w:rsid w:val="009C6B97"/>
    <w:rsid w:val="009D6BC2"/>
    <w:rsid w:val="009E17E8"/>
    <w:rsid w:val="009F21CA"/>
    <w:rsid w:val="009F2C85"/>
    <w:rsid w:val="00A133CF"/>
    <w:rsid w:val="00A1473B"/>
    <w:rsid w:val="00A152E9"/>
    <w:rsid w:val="00A21E3D"/>
    <w:rsid w:val="00A25DC3"/>
    <w:rsid w:val="00A34575"/>
    <w:rsid w:val="00A45B11"/>
    <w:rsid w:val="00A477ED"/>
    <w:rsid w:val="00A524EE"/>
    <w:rsid w:val="00A52A41"/>
    <w:rsid w:val="00A65DDF"/>
    <w:rsid w:val="00A6683F"/>
    <w:rsid w:val="00A67BEB"/>
    <w:rsid w:val="00A75E7C"/>
    <w:rsid w:val="00A81748"/>
    <w:rsid w:val="00A82383"/>
    <w:rsid w:val="00A830D8"/>
    <w:rsid w:val="00A83A67"/>
    <w:rsid w:val="00A857E5"/>
    <w:rsid w:val="00A921D0"/>
    <w:rsid w:val="00A95371"/>
    <w:rsid w:val="00AA2F6C"/>
    <w:rsid w:val="00AA6B48"/>
    <w:rsid w:val="00AB2F3D"/>
    <w:rsid w:val="00AD49AE"/>
    <w:rsid w:val="00AE2B90"/>
    <w:rsid w:val="00AF2C7C"/>
    <w:rsid w:val="00AF3921"/>
    <w:rsid w:val="00AF522B"/>
    <w:rsid w:val="00AF7136"/>
    <w:rsid w:val="00B1457A"/>
    <w:rsid w:val="00B14DBF"/>
    <w:rsid w:val="00B16B7D"/>
    <w:rsid w:val="00B27B3A"/>
    <w:rsid w:val="00B53542"/>
    <w:rsid w:val="00B61186"/>
    <w:rsid w:val="00B626CA"/>
    <w:rsid w:val="00B62FC1"/>
    <w:rsid w:val="00B67C99"/>
    <w:rsid w:val="00B75581"/>
    <w:rsid w:val="00B96586"/>
    <w:rsid w:val="00BA1A94"/>
    <w:rsid w:val="00BA5EA9"/>
    <w:rsid w:val="00BC234E"/>
    <w:rsid w:val="00BC627A"/>
    <w:rsid w:val="00BC66A6"/>
    <w:rsid w:val="00BD04A8"/>
    <w:rsid w:val="00BD69C3"/>
    <w:rsid w:val="00BE3DCC"/>
    <w:rsid w:val="00BE5C18"/>
    <w:rsid w:val="00C03627"/>
    <w:rsid w:val="00C158B2"/>
    <w:rsid w:val="00C15E6C"/>
    <w:rsid w:val="00C2190D"/>
    <w:rsid w:val="00C263D9"/>
    <w:rsid w:val="00C41848"/>
    <w:rsid w:val="00C44904"/>
    <w:rsid w:val="00C44D46"/>
    <w:rsid w:val="00C61BB4"/>
    <w:rsid w:val="00C665CF"/>
    <w:rsid w:val="00C6794B"/>
    <w:rsid w:val="00C77FB1"/>
    <w:rsid w:val="00C81E64"/>
    <w:rsid w:val="00C8573D"/>
    <w:rsid w:val="00CA057E"/>
    <w:rsid w:val="00CA0DF2"/>
    <w:rsid w:val="00CA4B63"/>
    <w:rsid w:val="00CA61AC"/>
    <w:rsid w:val="00CA78FE"/>
    <w:rsid w:val="00CB79BC"/>
    <w:rsid w:val="00CE1E65"/>
    <w:rsid w:val="00CE5DCF"/>
    <w:rsid w:val="00CE6365"/>
    <w:rsid w:val="00CE7A59"/>
    <w:rsid w:val="00D03F99"/>
    <w:rsid w:val="00D16B8D"/>
    <w:rsid w:val="00D40C45"/>
    <w:rsid w:val="00D57AA1"/>
    <w:rsid w:val="00D65E47"/>
    <w:rsid w:val="00D65FC3"/>
    <w:rsid w:val="00D73823"/>
    <w:rsid w:val="00D74FFE"/>
    <w:rsid w:val="00D75DA1"/>
    <w:rsid w:val="00D861B8"/>
    <w:rsid w:val="00DB5C72"/>
    <w:rsid w:val="00DB732F"/>
    <w:rsid w:val="00DC3749"/>
    <w:rsid w:val="00DD1E74"/>
    <w:rsid w:val="00DD64DC"/>
    <w:rsid w:val="00DE62FE"/>
    <w:rsid w:val="00DE7DDF"/>
    <w:rsid w:val="00DF006C"/>
    <w:rsid w:val="00DF0704"/>
    <w:rsid w:val="00DF0D46"/>
    <w:rsid w:val="00DF3458"/>
    <w:rsid w:val="00DF4BF3"/>
    <w:rsid w:val="00E13B23"/>
    <w:rsid w:val="00E15D53"/>
    <w:rsid w:val="00E2001B"/>
    <w:rsid w:val="00E4270C"/>
    <w:rsid w:val="00E51AD6"/>
    <w:rsid w:val="00E5589C"/>
    <w:rsid w:val="00E6762A"/>
    <w:rsid w:val="00E678FA"/>
    <w:rsid w:val="00E74C7E"/>
    <w:rsid w:val="00E755E9"/>
    <w:rsid w:val="00E77C1A"/>
    <w:rsid w:val="00E82C78"/>
    <w:rsid w:val="00E86C0B"/>
    <w:rsid w:val="00EC77FC"/>
    <w:rsid w:val="00EE3466"/>
    <w:rsid w:val="00EE7717"/>
    <w:rsid w:val="00EF0358"/>
    <w:rsid w:val="00F13AC1"/>
    <w:rsid w:val="00F20BC0"/>
    <w:rsid w:val="00F21304"/>
    <w:rsid w:val="00F23164"/>
    <w:rsid w:val="00F25281"/>
    <w:rsid w:val="00F371CF"/>
    <w:rsid w:val="00F420EF"/>
    <w:rsid w:val="00F611E2"/>
    <w:rsid w:val="00F61CD0"/>
    <w:rsid w:val="00F630B4"/>
    <w:rsid w:val="00F65B6D"/>
    <w:rsid w:val="00F66911"/>
    <w:rsid w:val="00F84BBC"/>
    <w:rsid w:val="00F9435A"/>
    <w:rsid w:val="00FA0E3E"/>
    <w:rsid w:val="00FD7DB6"/>
    <w:rsid w:val="00FE18EF"/>
    <w:rsid w:val="00FE3DB9"/>
    <w:rsid w:val="00FE4095"/>
    <w:rsid w:val="00FE69F5"/>
    <w:rsid w:val="00FF1675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1EED521A-46FA-463F-B7C2-F05B9DC3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11E2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4B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B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88D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B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4B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B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D49AE"/>
    <w:pPr>
      <w:widowControl/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65172"/>
    <w:pPr>
      <w:tabs>
        <w:tab w:val="left" w:pos="660"/>
        <w:tab w:val="right" w:leader="dot" w:pos="9016"/>
      </w:tabs>
      <w:spacing w:after="100"/>
    </w:pPr>
    <w:rPr>
      <w:rFonts w:ascii="Arial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D49A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D49A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48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6488D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E51A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AD6"/>
  </w:style>
  <w:style w:type="paragraph" w:styleId="Footer">
    <w:name w:val="footer"/>
    <w:basedOn w:val="Normal"/>
    <w:link w:val="FooterChar"/>
    <w:uiPriority w:val="99"/>
    <w:unhideWhenUsed/>
    <w:rsid w:val="00E51A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AD6"/>
  </w:style>
  <w:style w:type="paragraph" w:styleId="BalloonText">
    <w:name w:val="Balloon Text"/>
    <w:basedOn w:val="Normal"/>
    <w:link w:val="BalloonTextChar"/>
    <w:uiPriority w:val="99"/>
    <w:semiHidden/>
    <w:unhideWhenUsed/>
    <w:rsid w:val="00216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1C3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E62FE"/>
    <w:pPr>
      <w:widowControl w:val="0"/>
      <w:spacing w:after="0" w:line="240" w:lineRule="auto"/>
    </w:pPr>
  </w:style>
  <w:style w:type="table" w:styleId="LightGrid-Accent5">
    <w:name w:val="Light Grid Accent 5"/>
    <w:basedOn w:val="TableNormal"/>
    <w:uiPriority w:val="62"/>
    <w:rsid w:val="0016467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F213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1-Accent5">
    <w:name w:val="Medium Shading 1 Accent 5"/>
    <w:basedOn w:val="TableNormal"/>
    <w:uiPriority w:val="63"/>
    <w:rsid w:val="00CA61A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A61A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C44D46"/>
    <w:pPr>
      <w:widowControl/>
      <w:spacing w:after="31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intra-cell">
    <w:name w:val="&gt; Table para (intra-cell)"/>
    <w:basedOn w:val="Normal"/>
    <w:qFormat/>
    <w:rsid w:val="00E5589C"/>
    <w:pPr>
      <w:widowControl/>
      <w:spacing w:after="60" w:line="300" w:lineRule="auto"/>
    </w:pPr>
    <w:rPr>
      <w:rFonts w:ascii="Arial" w:eastAsia="Times New Roman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6B3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574">
              <w:marLeft w:val="0"/>
              <w:marRight w:val="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2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39734">
              <w:marLeft w:val="0"/>
              <w:marRight w:val="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7117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3C433-B210-4305-90FA-50B5DD21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mdt.com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Carr, Chris</dc:creator>
  <cp:lastModifiedBy>Cherry, Caroline</cp:lastModifiedBy>
  <cp:revision>2</cp:revision>
  <cp:lastPrinted>2020-02-21T15:03:00Z</cp:lastPrinted>
  <dcterms:created xsi:type="dcterms:W3CDTF">2021-05-17T06:26:00Z</dcterms:created>
  <dcterms:modified xsi:type="dcterms:W3CDTF">2021-05-17T06:26:00Z</dcterms:modified>
</cp:coreProperties>
</file>