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olor w:val="2E74B5" w:themeColor="accent1" w:themeShade="BF"/>
          <w:sz w:val="32"/>
          <w:szCs w:val="32"/>
        </w:rPr>
        <w:id w:val="976569515"/>
        <w:docPartObj>
          <w:docPartGallery w:val="Cover Pages"/>
          <w:docPartUnique/>
        </w:docPartObj>
      </w:sdtPr>
      <w:sdtEndPr/>
      <w:sdtContent>
        <w:p w14:paraId="100B4D0A" w14:textId="487D95A6" w:rsidR="002C3C4A" w:rsidRPr="00A55FBB" w:rsidRDefault="00045BB6">
          <w:pPr>
            <w:rPr>
              <w:b/>
              <w:sz w:val="28"/>
              <w:szCs w:val="28"/>
            </w:rPr>
          </w:pPr>
          <w:r>
            <w:rPr>
              <w:noProof/>
              <w:lang w:eastAsia="en-GB"/>
            </w:rPr>
            <mc:AlternateContent>
              <mc:Choice Requires="wpg">
                <w:drawing>
                  <wp:anchor distT="0" distB="0" distL="114300" distR="114300" simplePos="0" relativeHeight="251662336" behindDoc="0" locked="0" layoutInCell="1" allowOverlap="1" wp14:anchorId="102FC379" wp14:editId="2AB38B95">
                    <wp:simplePos x="0" y="0"/>
                    <wp:positionH relativeFrom="page">
                      <wp:posOffset>356870</wp:posOffset>
                    </wp:positionH>
                    <wp:positionV relativeFrom="page">
                      <wp:posOffset>423418</wp:posOffset>
                    </wp:positionV>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43EBB4E" id="Group 149" o:spid="_x0000_s1026" style="position:absolute;margin-left:28.1pt;margin-top:33.35pt;width:8in;height:95.7pt;z-index:251662336;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3" o:title="" recolor="t" rotate="t" type="frame"/>
                    </v:rect>
                    <w10:wrap anchorx="page" anchory="page"/>
                  </v:group>
                </w:pict>
              </mc:Fallback>
            </mc:AlternateContent>
          </w:r>
          <w:r w:rsidR="002C3C4A">
            <w:rPr>
              <w:noProof/>
              <w:lang w:eastAsia="en-GB"/>
            </w:rPr>
            <mc:AlternateContent>
              <mc:Choice Requires="wps">
                <w:drawing>
                  <wp:anchor distT="0" distB="0" distL="114300" distR="114300" simplePos="0" relativeHeight="251660288" behindDoc="0" locked="0" layoutInCell="1" allowOverlap="1" wp14:anchorId="013D3AC8" wp14:editId="2504C584">
                    <wp:simplePos x="0" y="0"/>
                    <wp:positionH relativeFrom="page">
                      <wp:align>center</wp:align>
                    </wp:positionH>
                    <mc:AlternateContent>
                      <mc:Choice Requires="wp14">
                        <wp:positionV relativeFrom="page">
                          <wp14:pctPosVOffset>81800</wp14:pctPosVOffset>
                        </wp:positionV>
                      </mc:Choice>
                      <mc:Fallback>
                        <wp:positionV relativeFrom="page">
                          <wp:posOffset>6184265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969DEB" w14:textId="77777777" w:rsidR="003F00D3" w:rsidRDefault="003F00D3">
                                <w:pPr>
                                  <w:pStyle w:val="NoSpacing"/>
                                  <w:jc w:val="right"/>
                                  <w:rPr>
                                    <w:color w:val="595959" w:themeColor="text1" w:themeTint="A6"/>
                                    <w:sz w:val="28"/>
                                    <w:szCs w:val="28"/>
                                  </w:rPr>
                                </w:pPr>
                              </w:p>
                              <w:p w14:paraId="4B350A7A" w14:textId="77777777" w:rsidR="003F00D3" w:rsidRDefault="003F00D3">
                                <w:pPr>
                                  <w:pStyle w:val="NoSpacing"/>
                                  <w:jc w:val="right"/>
                                  <w:rPr>
                                    <w:color w:val="595959" w:themeColor="text1" w:themeTint="A6"/>
                                    <w:sz w:val="28"/>
                                    <w:szCs w:val="28"/>
                                  </w:rPr>
                                </w:pPr>
                              </w:p>
                              <w:p w14:paraId="4CDFB672" w14:textId="77777777" w:rsidR="003F00D3" w:rsidRDefault="005C64FC">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3F00D3">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013D3AC8"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36969DEB" w14:textId="77777777" w:rsidR="003F00D3" w:rsidRDefault="003F00D3">
                          <w:pPr>
                            <w:pStyle w:val="NoSpacing"/>
                            <w:jc w:val="right"/>
                            <w:rPr>
                              <w:color w:val="595959" w:themeColor="text1" w:themeTint="A6"/>
                              <w:sz w:val="28"/>
                              <w:szCs w:val="28"/>
                            </w:rPr>
                          </w:pPr>
                        </w:p>
                        <w:p w14:paraId="4B350A7A" w14:textId="77777777" w:rsidR="003F00D3" w:rsidRDefault="003F00D3">
                          <w:pPr>
                            <w:pStyle w:val="NoSpacing"/>
                            <w:jc w:val="right"/>
                            <w:rPr>
                              <w:color w:val="595959" w:themeColor="text1" w:themeTint="A6"/>
                              <w:sz w:val="28"/>
                              <w:szCs w:val="28"/>
                            </w:rPr>
                          </w:pPr>
                        </w:p>
                        <w:p w14:paraId="4CDFB672" w14:textId="77777777" w:rsidR="003F00D3" w:rsidRDefault="003F00D3">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v:textbox>
                    <w10:wrap type="square" anchorx="page" anchory="page"/>
                  </v:shape>
                </w:pict>
              </mc:Fallback>
            </mc:AlternateContent>
          </w:r>
          <w:r w:rsidR="00F857E5">
            <w:rPr>
              <w:noProof/>
              <w:lang w:eastAsia="en-GB"/>
            </w:rPr>
            <mc:AlternateContent>
              <mc:Choice Requires="wps">
                <w:drawing>
                  <wp:anchor distT="0" distB="0" distL="114300" distR="114300" simplePos="0" relativeHeight="251659264" behindDoc="0" locked="0" layoutInCell="1" allowOverlap="1" wp14:anchorId="186B9A63" wp14:editId="03A69DA5">
                    <wp:simplePos x="0" y="0"/>
                    <wp:positionH relativeFrom="page">
                      <wp:posOffset>314325</wp:posOffset>
                    </wp:positionH>
                    <wp:positionV relativeFrom="page">
                      <wp:posOffset>1485900</wp:posOffset>
                    </wp:positionV>
                    <wp:extent cx="7315200" cy="478155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478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95FEA6" w14:textId="69AE329E" w:rsidR="003F00D3" w:rsidRDefault="005C64FC">
                                <w:pPr>
                                  <w:jc w:val="right"/>
                                  <w:rPr>
                                    <w:color w:val="5B9BD5" w:themeColor="accent1"/>
                                    <w:sz w:val="64"/>
                                    <w:szCs w:val="64"/>
                                  </w:rPr>
                                </w:pPr>
                                <w:sdt>
                                  <w:sdtPr>
                                    <w:rPr>
                                      <w:caps/>
                                      <w:color w:val="5B9BD5" w:themeColor="accent1"/>
                                      <w:sz w:val="64"/>
                                      <w:szCs w:val="64"/>
                                    </w:rPr>
                                    <w:alias w:val="Title"/>
                                    <w:tag w:val=""/>
                                    <w:id w:val="-493645007"/>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F00D3">
                                      <w:rPr>
                                        <w:caps/>
                                        <w:color w:val="5B9BD5" w:themeColor="accent1"/>
                                        <w:sz w:val="64"/>
                                        <w:szCs w:val="64"/>
                                      </w:rPr>
                                      <w:t>Local Government Benchmarking Framework (LGBF) 2018/19</w:t>
                                    </w:r>
                                  </w:sdtContent>
                                </w:sdt>
                              </w:p>
                              <w:p w14:paraId="1138D458" w14:textId="77777777" w:rsidR="003F00D3" w:rsidRDefault="003F00D3" w:rsidP="00350A1C">
                                <w:pPr>
                                  <w:jc w:val="right"/>
                                  <w:rPr>
                                    <w:color w:val="404040" w:themeColor="text1" w:themeTint="BF"/>
                                    <w:sz w:val="48"/>
                                    <w:szCs w:val="48"/>
                                  </w:rPr>
                                </w:pPr>
                                <w:r>
                                  <w:rPr>
                                    <w:color w:val="404040" w:themeColor="text1" w:themeTint="BF"/>
                                    <w:sz w:val="48"/>
                                    <w:szCs w:val="48"/>
                                  </w:rPr>
                                  <w:t>Argyll and Bute</w:t>
                                </w:r>
                              </w:p>
                              <w:p w14:paraId="02446C9E" w14:textId="6FC48451" w:rsidR="003F00D3" w:rsidRDefault="003F00D3" w:rsidP="00350A1C">
                                <w:pPr>
                                  <w:jc w:val="right"/>
                                  <w:rPr>
                                    <w:color w:val="404040" w:themeColor="text1" w:themeTint="BF"/>
                                    <w:sz w:val="48"/>
                                    <w:szCs w:val="48"/>
                                  </w:rPr>
                                </w:pPr>
                                <w:r>
                                  <w:rPr>
                                    <w:color w:val="404040" w:themeColor="text1" w:themeTint="BF"/>
                                    <w:sz w:val="48"/>
                                    <w:szCs w:val="48"/>
                                  </w:rPr>
                                  <w:t xml:space="preserve">TELLING OUR STORY and </w:t>
                                </w:r>
                              </w:p>
                              <w:p w14:paraId="5856D715" w14:textId="1607ADA9" w:rsidR="003F00D3" w:rsidRPr="00FC33FF" w:rsidRDefault="003F00D3" w:rsidP="00FC33FF">
                                <w:pPr>
                                  <w:jc w:val="right"/>
                                  <w:rPr>
                                    <w:color w:val="404040" w:themeColor="text1" w:themeTint="BF"/>
                                    <w:sz w:val="48"/>
                                    <w:szCs w:val="48"/>
                                  </w:rPr>
                                </w:pPr>
                                <w:r>
                                  <w:rPr>
                                    <w:color w:val="404040" w:themeColor="text1" w:themeTint="BF"/>
                                    <w:sz w:val="48"/>
                                    <w:szCs w:val="48"/>
                                  </w:rPr>
                                  <w:t>LOOKING FORWARD - EXPECTED IMPACT ON INDICATOR</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186B9A63" id="Text Box 154" o:spid="_x0000_s1027" type="#_x0000_t202" style="position:absolute;margin-left:24.75pt;margin-top:117pt;width:8in;height:376.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" filled="f" stroked="f" strokeweight=".5pt">
                    <v:textbox inset="126pt,0,54pt,0">
                      <w:txbxContent>
                        <w:p w14:paraId="1F95FEA6" w14:textId="69AE329E" w:rsidR="003F00D3" w:rsidRDefault="003F00D3">
                          <w:pPr>
                            <w:jc w:val="right"/>
                            <w:rPr>
                              <w:color w:val="5B9BD5" w:themeColor="accent1"/>
                              <w:sz w:val="64"/>
                              <w:szCs w:val="64"/>
                            </w:rPr>
                          </w:pPr>
                          <w:sdt>
                            <w:sdtPr>
                              <w:rPr>
                                <w:caps/>
                                <w:color w:val="5B9BD5" w:themeColor="accent1"/>
                                <w:sz w:val="64"/>
                                <w:szCs w:val="64"/>
                              </w:rPr>
                              <w:alias w:val="Title"/>
                              <w:tag w:val=""/>
                              <w:id w:val="-493645007"/>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Local Government Benchmarking Framework (LGBF) 2018/19</w:t>
                              </w:r>
                            </w:sdtContent>
                          </w:sdt>
                        </w:p>
                        <w:p w14:paraId="1138D458" w14:textId="77777777" w:rsidR="003F00D3" w:rsidRDefault="003F00D3" w:rsidP="00350A1C">
                          <w:pPr>
                            <w:jc w:val="right"/>
                            <w:rPr>
                              <w:color w:val="404040" w:themeColor="text1" w:themeTint="BF"/>
                              <w:sz w:val="48"/>
                              <w:szCs w:val="48"/>
                            </w:rPr>
                          </w:pPr>
                          <w:r>
                            <w:rPr>
                              <w:color w:val="404040" w:themeColor="text1" w:themeTint="BF"/>
                              <w:sz w:val="48"/>
                              <w:szCs w:val="48"/>
                            </w:rPr>
                            <w:t>Argyll and Bute</w:t>
                          </w:r>
                        </w:p>
                        <w:p w14:paraId="02446C9E" w14:textId="6FC48451" w:rsidR="003F00D3" w:rsidRDefault="003F00D3" w:rsidP="00350A1C">
                          <w:pPr>
                            <w:jc w:val="right"/>
                            <w:rPr>
                              <w:color w:val="404040" w:themeColor="text1" w:themeTint="BF"/>
                              <w:sz w:val="48"/>
                              <w:szCs w:val="48"/>
                            </w:rPr>
                          </w:pPr>
                          <w:r>
                            <w:rPr>
                              <w:color w:val="404040" w:themeColor="text1" w:themeTint="BF"/>
                              <w:sz w:val="48"/>
                              <w:szCs w:val="48"/>
                            </w:rPr>
                            <w:t xml:space="preserve">TELLING OUR STORY and </w:t>
                          </w:r>
                        </w:p>
                        <w:p w14:paraId="5856D715" w14:textId="1607ADA9" w:rsidR="003F00D3" w:rsidRPr="00FC33FF" w:rsidRDefault="003F00D3" w:rsidP="00FC33FF">
                          <w:pPr>
                            <w:jc w:val="right"/>
                            <w:rPr>
                              <w:color w:val="404040" w:themeColor="text1" w:themeTint="BF"/>
                              <w:sz w:val="48"/>
                              <w:szCs w:val="48"/>
                            </w:rPr>
                          </w:pPr>
                          <w:r>
                            <w:rPr>
                              <w:color w:val="404040" w:themeColor="text1" w:themeTint="BF"/>
                              <w:sz w:val="48"/>
                              <w:szCs w:val="48"/>
                            </w:rPr>
                            <w:t>LOOKING FORWARD - EXPECTED IMPACT ON INDICATOR</w:t>
                          </w:r>
                        </w:p>
                      </w:txbxContent>
                    </v:textbox>
                    <w10:wrap type="square" anchorx="page" anchory="page"/>
                  </v:shape>
                </w:pict>
              </mc:Fallback>
            </mc:AlternateContent>
          </w:r>
          <w:r w:rsidR="002C3C4A">
            <w:rPr>
              <w:b/>
              <w:color w:val="FF0000"/>
              <w:sz w:val="28"/>
              <w:szCs w:val="28"/>
            </w:rPr>
            <w:br w:type="page"/>
          </w:r>
        </w:p>
        <w:sdt>
          <w:sdtPr>
            <w:rPr>
              <w:rFonts w:asciiTheme="minorHAnsi" w:eastAsiaTheme="minorHAnsi" w:hAnsiTheme="minorHAnsi" w:cstheme="minorBidi"/>
              <w:color w:val="auto"/>
              <w:sz w:val="22"/>
              <w:szCs w:val="22"/>
              <w:lang w:val="en-GB"/>
            </w:rPr>
            <w:id w:val="1530757755"/>
            <w:docPartObj>
              <w:docPartGallery w:val="Table of Contents"/>
              <w:docPartUnique/>
            </w:docPartObj>
          </w:sdtPr>
          <w:sdtEndPr>
            <w:rPr>
              <w:b/>
              <w:bCs/>
              <w:noProof/>
            </w:rPr>
          </w:sdtEndPr>
          <w:sdtContent>
            <w:p w14:paraId="1C973ACC" w14:textId="77777777" w:rsidR="002C3C4A" w:rsidRDefault="002C3C4A">
              <w:pPr>
                <w:pStyle w:val="TOCHeading"/>
              </w:pPr>
              <w:r>
                <w:t>Contents</w:t>
              </w:r>
              <w:r w:rsidR="00646366">
                <w:t xml:space="preserve"> – List of indicators</w:t>
              </w:r>
            </w:p>
            <w:p w14:paraId="418752B6" w14:textId="77777777" w:rsidR="006009A3" w:rsidRDefault="002C3C4A">
              <w:pPr>
                <w:pStyle w:val="TOC1"/>
                <w:tabs>
                  <w:tab w:val="right" w:leader="dot" w:pos="13948"/>
                </w:tabs>
                <w:rPr>
                  <w:rFonts w:cstheme="minorBidi"/>
                  <w:noProof/>
                  <w:lang w:val="en-GB" w:eastAsia="en-GB"/>
                </w:rPr>
              </w:pPr>
              <w:r>
                <w:fldChar w:fldCharType="begin"/>
              </w:r>
              <w:r>
                <w:instrText xml:space="preserve"> TOC \o "1-3" \h \z \u </w:instrText>
              </w:r>
              <w:r>
                <w:fldChar w:fldCharType="separate"/>
              </w:r>
              <w:hyperlink w:anchor="_Toc56757679" w:history="1">
                <w:r w:rsidR="006009A3" w:rsidRPr="00453354">
                  <w:rPr>
                    <w:rStyle w:val="Hyperlink"/>
                    <w:rFonts w:ascii="Arial" w:hAnsi="Arial" w:cs="Arial"/>
                    <w:b/>
                    <w:noProof/>
                  </w:rPr>
                  <w:t>INTRODUCTION AND KEY TO SYMBOLS</w:t>
                </w:r>
                <w:r w:rsidR="006009A3">
                  <w:rPr>
                    <w:noProof/>
                    <w:webHidden/>
                  </w:rPr>
                  <w:tab/>
                </w:r>
                <w:r w:rsidR="006009A3">
                  <w:rPr>
                    <w:noProof/>
                    <w:webHidden/>
                  </w:rPr>
                  <w:fldChar w:fldCharType="begin"/>
                </w:r>
                <w:r w:rsidR="006009A3">
                  <w:rPr>
                    <w:noProof/>
                    <w:webHidden/>
                  </w:rPr>
                  <w:instrText xml:space="preserve"> PAGEREF _Toc56757679 \h </w:instrText>
                </w:r>
                <w:r w:rsidR="006009A3">
                  <w:rPr>
                    <w:noProof/>
                    <w:webHidden/>
                  </w:rPr>
                </w:r>
                <w:r w:rsidR="006009A3">
                  <w:rPr>
                    <w:noProof/>
                    <w:webHidden/>
                  </w:rPr>
                  <w:fldChar w:fldCharType="separate"/>
                </w:r>
                <w:r w:rsidR="006009A3">
                  <w:rPr>
                    <w:noProof/>
                    <w:webHidden/>
                  </w:rPr>
                  <w:t>4</w:t>
                </w:r>
                <w:r w:rsidR="006009A3">
                  <w:rPr>
                    <w:noProof/>
                    <w:webHidden/>
                  </w:rPr>
                  <w:fldChar w:fldCharType="end"/>
                </w:r>
              </w:hyperlink>
            </w:p>
            <w:p w14:paraId="7F7CDC77" w14:textId="77777777" w:rsidR="006009A3" w:rsidRDefault="005C64FC">
              <w:pPr>
                <w:pStyle w:val="TOC2"/>
                <w:tabs>
                  <w:tab w:val="right" w:leader="dot" w:pos="13948"/>
                </w:tabs>
                <w:rPr>
                  <w:rFonts w:cstheme="minorBidi"/>
                  <w:noProof/>
                  <w:lang w:val="en-GB" w:eastAsia="en-GB"/>
                </w:rPr>
              </w:pPr>
              <w:hyperlink w:anchor="_Toc56757680" w:history="1">
                <w:r w:rsidR="006009A3" w:rsidRPr="00453354">
                  <w:rPr>
                    <w:rStyle w:val="Hyperlink"/>
                    <w:b/>
                    <w:noProof/>
                  </w:rPr>
                  <w:t>EDUCATION</w:t>
                </w:r>
                <w:r w:rsidR="006009A3">
                  <w:rPr>
                    <w:noProof/>
                    <w:webHidden/>
                  </w:rPr>
                  <w:tab/>
                </w:r>
                <w:r w:rsidR="006009A3">
                  <w:rPr>
                    <w:noProof/>
                    <w:webHidden/>
                  </w:rPr>
                  <w:fldChar w:fldCharType="begin"/>
                </w:r>
                <w:r w:rsidR="006009A3">
                  <w:rPr>
                    <w:noProof/>
                    <w:webHidden/>
                  </w:rPr>
                  <w:instrText xml:space="preserve"> PAGEREF _Toc56757680 \h </w:instrText>
                </w:r>
                <w:r w:rsidR="006009A3">
                  <w:rPr>
                    <w:noProof/>
                    <w:webHidden/>
                  </w:rPr>
                </w:r>
                <w:r w:rsidR="006009A3">
                  <w:rPr>
                    <w:noProof/>
                    <w:webHidden/>
                  </w:rPr>
                  <w:fldChar w:fldCharType="separate"/>
                </w:r>
                <w:r w:rsidR="006009A3">
                  <w:rPr>
                    <w:noProof/>
                    <w:webHidden/>
                  </w:rPr>
                  <w:t>6</w:t>
                </w:r>
                <w:r w:rsidR="006009A3">
                  <w:rPr>
                    <w:noProof/>
                    <w:webHidden/>
                  </w:rPr>
                  <w:fldChar w:fldCharType="end"/>
                </w:r>
              </w:hyperlink>
            </w:p>
            <w:p w14:paraId="7422C4F4" w14:textId="77777777" w:rsidR="006009A3" w:rsidRDefault="005C64FC">
              <w:pPr>
                <w:pStyle w:val="TOC1"/>
                <w:tabs>
                  <w:tab w:val="right" w:leader="dot" w:pos="13948"/>
                </w:tabs>
                <w:rPr>
                  <w:rFonts w:cstheme="minorBidi"/>
                  <w:noProof/>
                  <w:lang w:val="en-GB" w:eastAsia="en-GB"/>
                </w:rPr>
              </w:pPr>
              <w:hyperlink w:anchor="_Toc56757681" w:history="1">
                <w:r w:rsidR="006009A3" w:rsidRPr="00453354">
                  <w:rPr>
                    <w:rStyle w:val="Hyperlink"/>
                    <w:b/>
                    <w:noProof/>
                  </w:rPr>
                  <w:t>INDICATOR REF: CHN4 - Percentage of pupils gaining 5+ awards at level 5</w:t>
                </w:r>
                <w:r w:rsidR="006009A3">
                  <w:rPr>
                    <w:noProof/>
                    <w:webHidden/>
                  </w:rPr>
                  <w:tab/>
                </w:r>
                <w:r w:rsidR="006009A3">
                  <w:rPr>
                    <w:noProof/>
                    <w:webHidden/>
                  </w:rPr>
                  <w:fldChar w:fldCharType="begin"/>
                </w:r>
                <w:r w:rsidR="006009A3">
                  <w:rPr>
                    <w:noProof/>
                    <w:webHidden/>
                  </w:rPr>
                  <w:instrText xml:space="preserve"> PAGEREF _Toc56757681 \h </w:instrText>
                </w:r>
                <w:r w:rsidR="006009A3">
                  <w:rPr>
                    <w:noProof/>
                    <w:webHidden/>
                  </w:rPr>
                </w:r>
                <w:r w:rsidR="006009A3">
                  <w:rPr>
                    <w:noProof/>
                    <w:webHidden/>
                  </w:rPr>
                  <w:fldChar w:fldCharType="separate"/>
                </w:r>
                <w:r w:rsidR="006009A3">
                  <w:rPr>
                    <w:noProof/>
                    <w:webHidden/>
                  </w:rPr>
                  <w:t>6</w:t>
                </w:r>
                <w:r w:rsidR="006009A3">
                  <w:rPr>
                    <w:noProof/>
                    <w:webHidden/>
                  </w:rPr>
                  <w:fldChar w:fldCharType="end"/>
                </w:r>
              </w:hyperlink>
            </w:p>
            <w:p w14:paraId="74EAAB11" w14:textId="77777777" w:rsidR="006009A3" w:rsidRDefault="005C64FC">
              <w:pPr>
                <w:pStyle w:val="TOC1"/>
                <w:tabs>
                  <w:tab w:val="right" w:leader="dot" w:pos="13948"/>
                </w:tabs>
                <w:rPr>
                  <w:rFonts w:cstheme="minorBidi"/>
                  <w:noProof/>
                  <w:lang w:val="en-GB" w:eastAsia="en-GB"/>
                </w:rPr>
              </w:pPr>
              <w:hyperlink w:anchor="_Toc56757682" w:history="1">
                <w:r w:rsidR="006009A3" w:rsidRPr="00453354">
                  <w:rPr>
                    <w:rStyle w:val="Hyperlink"/>
                    <w:b/>
                    <w:noProof/>
                  </w:rPr>
                  <w:t>INDICATOR REF: CHN6 - Percentage of pupils living in the 20% most deprived areas gaining 5+ awards at level 5 (SIMD)</w:t>
                </w:r>
                <w:r w:rsidR="006009A3">
                  <w:rPr>
                    <w:noProof/>
                    <w:webHidden/>
                  </w:rPr>
                  <w:tab/>
                </w:r>
                <w:r w:rsidR="006009A3">
                  <w:rPr>
                    <w:noProof/>
                    <w:webHidden/>
                  </w:rPr>
                  <w:fldChar w:fldCharType="begin"/>
                </w:r>
                <w:r w:rsidR="006009A3">
                  <w:rPr>
                    <w:noProof/>
                    <w:webHidden/>
                  </w:rPr>
                  <w:instrText xml:space="preserve"> PAGEREF _Toc56757682 \h </w:instrText>
                </w:r>
                <w:r w:rsidR="006009A3">
                  <w:rPr>
                    <w:noProof/>
                    <w:webHidden/>
                  </w:rPr>
                </w:r>
                <w:r w:rsidR="006009A3">
                  <w:rPr>
                    <w:noProof/>
                    <w:webHidden/>
                  </w:rPr>
                  <w:fldChar w:fldCharType="separate"/>
                </w:r>
                <w:r w:rsidR="006009A3">
                  <w:rPr>
                    <w:noProof/>
                    <w:webHidden/>
                  </w:rPr>
                  <w:t>8</w:t>
                </w:r>
                <w:r w:rsidR="006009A3">
                  <w:rPr>
                    <w:noProof/>
                    <w:webHidden/>
                  </w:rPr>
                  <w:fldChar w:fldCharType="end"/>
                </w:r>
              </w:hyperlink>
            </w:p>
            <w:p w14:paraId="69B190B4" w14:textId="77777777" w:rsidR="006009A3" w:rsidRDefault="005C64FC">
              <w:pPr>
                <w:pStyle w:val="TOC1"/>
                <w:tabs>
                  <w:tab w:val="right" w:leader="dot" w:pos="13948"/>
                </w:tabs>
                <w:rPr>
                  <w:rFonts w:cstheme="minorBidi"/>
                  <w:noProof/>
                  <w:lang w:val="en-GB" w:eastAsia="en-GB"/>
                </w:rPr>
              </w:pPr>
              <w:hyperlink w:anchor="_Toc56757683" w:history="1">
                <w:r w:rsidR="006009A3" w:rsidRPr="00453354">
                  <w:rPr>
                    <w:rStyle w:val="Hyperlink"/>
                    <w:b/>
                    <w:noProof/>
                  </w:rPr>
                  <w:t>INDICATOR REF: CHN10 – Percentage of adults satisfied with local schools</w:t>
                </w:r>
                <w:r w:rsidR="006009A3">
                  <w:rPr>
                    <w:noProof/>
                    <w:webHidden/>
                  </w:rPr>
                  <w:tab/>
                </w:r>
                <w:r w:rsidR="006009A3">
                  <w:rPr>
                    <w:noProof/>
                    <w:webHidden/>
                  </w:rPr>
                  <w:fldChar w:fldCharType="begin"/>
                </w:r>
                <w:r w:rsidR="006009A3">
                  <w:rPr>
                    <w:noProof/>
                    <w:webHidden/>
                  </w:rPr>
                  <w:instrText xml:space="preserve"> PAGEREF _Toc56757683 \h </w:instrText>
                </w:r>
                <w:r w:rsidR="006009A3">
                  <w:rPr>
                    <w:noProof/>
                    <w:webHidden/>
                  </w:rPr>
                </w:r>
                <w:r w:rsidR="006009A3">
                  <w:rPr>
                    <w:noProof/>
                    <w:webHidden/>
                  </w:rPr>
                  <w:fldChar w:fldCharType="separate"/>
                </w:r>
                <w:r w:rsidR="006009A3">
                  <w:rPr>
                    <w:noProof/>
                    <w:webHidden/>
                  </w:rPr>
                  <w:t>9</w:t>
                </w:r>
                <w:r w:rsidR="006009A3">
                  <w:rPr>
                    <w:noProof/>
                    <w:webHidden/>
                  </w:rPr>
                  <w:fldChar w:fldCharType="end"/>
                </w:r>
              </w:hyperlink>
            </w:p>
            <w:p w14:paraId="5C092806" w14:textId="77777777" w:rsidR="006009A3" w:rsidRDefault="005C64FC">
              <w:pPr>
                <w:pStyle w:val="TOC1"/>
                <w:tabs>
                  <w:tab w:val="right" w:leader="dot" w:pos="13948"/>
                </w:tabs>
                <w:rPr>
                  <w:rFonts w:cstheme="minorBidi"/>
                  <w:noProof/>
                  <w:lang w:val="en-GB" w:eastAsia="en-GB"/>
                </w:rPr>
              </w:pPr>
              <w:hyperlink w:anchor="_Toc56757684" w:history="1">
                <w:r w:rsidR="006009A3" w:rsidRPr="00453354">
                  <w:rPr>
                    <w:rStyle w:val="Hyperlink"/>
                    <w:b/>
                    <w:noProof/>
                  </w:rPr>
                  <w:t>INDICATOR REF: CHN18 - Percentage of funded early years provision which is graded good/better</w:t>
                </w:r>
                <w:r w:rsidR="006009A3">
                  <w:rPr>
                    <w:noProof/>
                    <w:webHidden/>
                  </w:rPr>
                  <w:tab/>
                </w:r>
                <w:r w:rsidR="006009A3">
                  <w:rPr>
                    <w:noProof/>
                    <w:webHidden/>
                  </w:rPr>
                  <w:fldChar w:fldCharType="begin"/>
                </w:r>
                <w:r w:rsidR="006009A3">
                  <w:rPr>
                    <w:noProof/>
                    <w:webHidden/>
                  </w:rPr>
                  <w:instrText xml:space="preserve"> PAGEREF _Toc56757684 \h </w:instrText>
                </w:r>
                <w:r w:rsidR="006009A3">
                  <w:rPr>
                    <w:noProof/>
                    <w:webHidden/>
                  </w:rPr>
                </w:r>
                <w:r w:rsidR="006009A3">
                  <w:rPr>
                    <w:noProof/>
                    <w:webHidden/>
                  </w:rPr>
                  <w:fldChar w:fldCharType="separate"/>
                </w:r>
                <w:r w:rsidR="006009A3">
                  <w:rPr>
                    <w:noProof/>
                    <w:webHidden/>
                  </w:rPr>
                  <w:t>10</w:t>
                </w:r>
                <w:r w:rsidR="006009A3">
                  <w:rPr>
                    <w:noProof/>
                    <w:webHidden/>
                  </w:rPr>
                  <w:fldChar w:fldCharType="end"/>
                </w:r>
              </w:hyperlink>
            </w:p>
            <w:p w14:paraId="665157D4" w14:textId="77777777" w:rsidR="006009A3" w:rsidRDefault="005C64FC">
              <w:pPr>
                <w:pStyle w:val="TOC1"/>
                <w:tabs>
                  <w:tab w:val="right" w:leader="dot" w:pos="13948"/>
                </w:tabs>
                <w:rPr>
                  <w:rFonts w:cstheme="minorBidi"/>
                  <w:noProof/>
                  <w:lang w:val="en-GB" w:eastAsia="en-GB"/>
                </w:rPr>
              </w:pPr>
              <w:hyperlink w:anchor="_Toc56757685" w:history="1">
                <w:r w:rsidR="006009A3" w:rsidRPr="00453354">
                  <w:rPr>
                    <w:rStyle w:val="Hyperlink"/>
                    <w:b/>
                    <w:noProof/>
                  </w:rPr>
                  <w:t>INDICATOR REF: CHN19a - School attendance rates (per 100 pupils)</w:t>
                </w:r>
                <w:r w:rsidR="006009A3">
                  <w:rPr>
                    <w:noProof/>
                    <w:webHidden/>
                  </w:rPr>
                  <w:tab/>
                </w:r>
                <w:r w:rsidR="006009A3">
                  <w:rPr>
                    <w:noProof/>
                    <w:webHidden/>
                  </w:rPr>
                  <w:fldChar w:fldCharType="begin"/>
                </w:r>
                <w:r w:rsidR="006009A3">
                  <w:rPr>
                    <w:noProof/>
                    <w:webHidden/>
                  </w:rPr>
                  <w:instrText xml:space="preserve"> PAGEREF _Toc56757685 \h </w:instrText>
                </w:r>
                <w:r w:rsidR="006009A3">
                  <w:rPr>
                    <w:noProof/>
                    <w:webHidden/>
                  </w:rPr>
                </w:r>
                <w:r w:rsidR="006009A3">
                  <w:rPr>
                    <w:noProof/>
                    <w:webHidden/>
                  </w:rPr>
                  <w:fldChar w:fldCharType="separate"/>
                </w:r>
                <w:r w:rsidR="006009A3">
                  <w:rPr>
                    <w:noProof/>
                    <w:webHidden/>
                  </w:rPr>
                  <w:t>11</w:t>
                </w:r>
                <w:r w:rsidR="006009A3">
                  <w:rPr>
                    <w:noProof/>
                    <w:webHidden/>
                  </w:rPr>
                  <w:fldChar w:fldCharType="end"/>
                </w:r>
              </w:hyperlink>
            </w:p>
            <w:p w14:paraId="59A33E33" w14:textId="77777777" w:rsidR="006009A3" w:rsidRDefault="005C64FC">
              <w:pPr>
                <w:pStyle w:val="TOC1"/>
                <w:tabs>
                  <w:tab w:val="right" w:leader="dot" w:pos="13948"/>
                </w:tabs>
                <w:rPr>
                  <w:rFonts w:cstheme="minorBidi"/>
                  <w:noProof/>
                  <w:lang w:val="en-GB" w:eastAsia="en-GB"/>
                </w:rPr>
              </w:pPr>
              <w:hyperlink w:anchor="_Toc56757686" w:history="1">
                <w:r w:rsidR="006009A3" w:rsidRPr="00453354">
                  <w:rPr>
                    <w:rStyle w:val="Hyperlink"/>
                    <w:b/>
                    <w:noProof/>
                  </w:rPr>
                  <w:t>INDICATOR REF: CHN20a - School exclusion rates – per 1,000 pupils</w:t>
                </w:r>
                <w:r w:rsidR="006009A3">
                  <w:rPr>
                    <w:noProof/>
                    <w:webHidden/>
                  </w:rPr>
                  <w:tab/>
                </w:r>
                <w:r w:rsidR="006009A3">
                  <w:rPr>
                    <w:noProof/>
                    <w:webHidden/>
                  </w:rPr>
                  <w:fldChar w:fldCharType="begin"/>
                </w:r>
                <w:r w:rsidR="006009A3">
                  <w:rPr>
                    <w:noProof/>
                    <w:webHidden/>
                  </w:rPr>
                  <w:instrText xml:space="preserve"> PAGEREF _Toc56757686 \h </w:instrText>
                </w:r>
                <w:r w:rsidR="006009A3">
                  <w:rPr>
                    <w:noProof/>
                    <w:webHidden/>
                  </w:rPr>
                </w:r>
                <w:r w:rsidR="006009A3">
                  <w:rPr>
                    <w:noProof/>
                    <w:webHidden/>
                  </w:rPr>
                  <w:fldChar w:fldCharType="separate"/>
                </w:r>
                <w:r w:rsidR="006009A3">
                  <w:rPr>
                    <w:noProof/>
                    <w:webHidden/>
                  </w:rPr>
                  <w:t>13</w:t>
                </w:r>
                <w:r w:rsidR="006009A3">
                  <w:rPr>
                    <w:noProof/>
                    <w:webHidden/>
                  </w:rPr>
                  <w:fldChar w:fldCharType="end"/>
                </w:r>
              </w:hyperlink>
            </w:p>
            <w:p w14:paraId="669610BA" w14:textId="77777777" w:rsidR="006009A3" w:rsidRDefault="005C64FC">
              <w:pPr>
                <w:pStyle w:val="TOC1"/>
                <w:tabs>
                  <w:tab w:val="right" w:leader="dot" w:pos="13948"/>
                </w:tabs>
                <w:rPr>
                  <w:rFonts w:cstheme="minorBidi"/>
                  <w:noProof/>
                  <w:lang w:val="en-GB" w:eastAsia="en-GB"/>
                </w:rPr>
              </w:pPr>
              <w:hyperlink w:anchor="_Toc56757687" w:history="1">
                <w:r w:rsidR="006009A3" w:rsidRPr="00453354">
                  <w:rPr>
                    <w:rStyle w:val="Hyperlink"/>
                    <w:b/>
                    <w:noProof/>
                  </w:rPr>
                  <w:t>INDICATOR REF: CHN21 - Participation rates for 16-19 year olds (per 100 pupils)</w:t>
                </w:r>
                <w:r w:rsidR="006009A3">
                  <w:rPr>
                    <w:noProof/>
                    <w:webHidden/>
                  </w:rPr>
                  <w:tab/>
                </w:r>
                <w:r w:rsidR="006009A3">
                  <w:rPr>
                    <w:noProof/>
                    <w:webHidden/>
                  </w:rPr>
                  <w:fldChar w:fldCharType="begin"/>
                </w:r>
                <w:r w:rsidR="006009A3">
                  <w:rPr>
                    <w:noProof/>
                    <w:webHidden/>
                  </w:rPr>
                  <w:instrText xml:space="preserve"> PAGEREF _Toc56757687 \h </w:instrText>
                </w:r>
                <w:r w:rsidR="006009A3">
                  <w:rPr>
                    <w:noProof/>
                    <w:webHidden/>
                  </w:rPr>
                </w:r>
                <w:r w:rsidR="006009A3">
                  <w:rPr>
                    <w:noProof/>
                    <w:webHidden/>
                  </w:rPr>
                  <w:fldChar w:fldCharType="separate"/>
                </w:r>
                <w:r w:rsidR="006009A3">
                  <w:rPr>
                    <w:noProof/>
                    <w:webHidden/>
                  </w:rPr>
                  <w:t>14</w:t>
                </w:r>
                <w:r w:rsidR="006009A3">
                  <w:rPr>
                    <w:noProof/>
                    <w:webHidden/>
                  </w:rPr>
                  <w:fldChar w:fldCharType="end"/>
                </w:r>
              </w:hyperlink>
            </w:p>
            <w:p w14:paraId="260CA67C" w14:textId="77777777" w:rsidR="006009A3" w:rsidRDefault="005C64FC">
              <w:pPr>
                <w:pStyle w:val="TOC2"/>
                <w:tabs>
                  <w:tab w:val="right" w:leader="dot" w:pos="13948"/>
                </w:tabs>
                <w:rPr>
                  <w:rFonts w:cstheme="minorBidi"/>
                  <w:noProof/>
                  <w:lang w:val="en-GB" w:eastAsia="en-GB"/>
                </w:rPr>
              </w:pPr>
              <w:hyperlink w:anchor="_Toc56757688" w:history="1">
                <w:r w:rsidR="006009A3" w:rsidRPr="00453354">
                  <w:rPr>
                    <w:rStyle w:val="Hyperlink"/>
                    <w:b/>
                    <w:noProof/>
                  </w:rPr>
                  <w:t>CHILDREN AND FAMILIES</w:t>
                </w:r>
                <w:r w:rsidR="006009A3">
                  <w:rPr>
                    <w:noProof/>
                    <w:webHidden/>
                  </w:rPr>
                  <w:tab/>
                </w:r>
                <w:r w:rsidR="006009A3">
                  <w:rPr>
                    <w:noProof/>
                    <w:webHidden/>
                  </w:rPr>
                  <w:fldChar w:fldCharType="begin"/>
                </w:r>
                <w:r w:rsidR="006009A3">
                  <w:rPr>
                    <w:noProof/>
                    <w:webHidden/>
                  </w:rPr>
                  <w:instrText xml:space="preserve"> PAGEREF _Toc56757688 \h </w:instrText>
                </w:r>
                <w:r w:rsidR="006009A3">
                  <w:rPr>
                    <w:noProof/>
                    <w:webHidden/>
                  </w:rPr>
                </w:r>
                <w:r w:rsidR="006009A3">
                  <w:rPr>
                    <w:noProof/>
                    <w:webHidden/>
                  </w:rPr>
                  <w:fldChar w:fldCharType="separate"/>
                </w:r>
                <w:r w:rsidR="006009A3">
                  <w:rPr>
                    <w:noProof/>
                    <w:webHidden/>
                  </w:rPr>
                  <w:t>15</w:t>
                </w:r>
                <w:r w:rsidR="006009A3">
                  <w:rPr>
                    <w:noProof/>
                    <w:webHidden/>
                  </w:rPr>
                  <w:fldChar w:fldCharType="end"/>
                </w:r>
              </w:hyperlink>
            </w:p>
            <w:p w14:paraId="4E5BA0A3" w14:textId="77777777" w:rsidR="006009A3" w:rsidRDefault="005C64FC">
              <w:pPr>
                <w:pStyle w:val="TOC1"/>
                <w:tabs>
                  <w:tab w:val="right" w:leader="dot" w:pos="13948"/>
                </w:tabs>
                <w:rPr>
                  <w:rFonts w:cstheme="minorBidi"/>
                  <w:noProof/>
                  <w:lang w:val="en-GB" w:eastAsia="en-GB"/>
                </w:rPr>
              </w:pPr>
              <w:hyperlink w:anchor="_Toc56757689" w:history="1">
                <w:r w:rsidR="006009A3" w:rsidRPr="00453354">
                  <w:rPr>
                    <w:rStyle w:val="Hyperlink"/>
                    <w:b/>
                    <w:noProof/>
                  </w:rPr>
                  <w:t>INDICATOR REF: CHN8a - The gross cost of "Children Looked After" in residential based services per child per week</w:t>
                </w:r>
                <w:r w:rsidR="006009A3">
                  <w:rPr>
                    <w:noProof/>
                    <w:webHidden/>
                  </w:rPr>
                  <w:tab/>
                </w:r>
                <w:r w:rsidR="006009A3">
                  <w:rPr>
                    <w:noProof/>
                    <w:webHidden/>
                  </w:rPr>
                  <w:fldChar w:fldCharType="begin"/>
                </w:r>
                <w:r w:rsidR="006009A3">
                  <w:rPr>
                    <w:noProof/>
                    <w:webHidden/>
                  </w:rPr>
                  <w:instrText xml:space="preserve"> PAGEREF _Toc56757689 \h </w:instrText>
                </w:r>
                <w:r w:rsidR="006009A3">
                  <w:rPr>
                    <w:noProof/>
                    <w:webHidden/>
                  </w:rPr>
                </w:r>
                <w:r w:rsidR="006009A3">
                  <w:rPr>
                    <w:noProof/>
                    <w:webHidden/>
                  </w:rPr>
                  <w:fldChar w:fldCharType="separate"/>
                </w:r>
                <w:r w:rsidR="006009A3">
                  <w:rPr>
                    <w:noProof/>
                    <w:webHidden/>
                  </w:rPr>
                  <w:t>15</w:t>
                </w:r>
                <w:r w:rsidR="006009A3">
                  <w:rPr>
                    <w:noProof/>
                    <w:webHidden/>
                  </w:rPr>
                  <w:fldChar w:fldCharType="end"/>
                </w:r>
              </w:hyperlink>
            </w:p>
            <w:p w14:paraId="2C2E72E5" w14:textId="77777777" w:rsidR="006009A3" w:rsidRDefault="005C64FC">
              <w:pPr>
                <w:pStyle w:val="TOC1"/>
                <w:tabs>
                  <w:tab w:val="right" w:leader="dot" w:pos="13948"/>
                </w:tabs>
                <w:rPr>
                  <w:rFonts w:cstheme="minorBidi"/>
                  <w:noProof/>
                  <w:lang w:val="en-GB" w:eastAsia="en-GB"/>
                </w:rPr>
              </w:pPr>
              <w:hyperlink w:anchor="_Toc56757690" w:history="1">
                <w:r w:rsidR="006009A3" w:rsidRPr="00453354">
                  <w:rPr>
                    <w:rStyle w:val="Hyperlink"/>
                    <w:b/>
                    <w:noProof/>
                  </w:rPr>
                  <w:t>INDICATOR REF: CHN8b - The gross cost of "Children Looked After" in a community setting per child per week</w:t>
                </w:r>
                <w:r w:rsidR="006009A3">
                  <w:rPr>
                    <w:noProof/>
                    <w:webHidden/>
                  </w:rPr>
                  <w:tab/>
                </w:r>
                <w:r w:rsidR="006009A3">
                  <w:rPr>
                    <w:noProof/>
                    <w:webHidden/>
                  </w:rPr>
                  <w:fldChar w:fldCharType="begin"/>
                </w:r>
                <w:r w:rsidR="006009A3">
                  <w:rPr>
                    <w:noProof/>
                    <w:webHidden/>
                  </w:rPr>
                  <w:instrText xml:space="preserve"> PAGEREF _Toc56757690 \h </w:instrText>
                </w:r>
                <w:r w:rsidR="006009A3">
                  <w:rPr>
                    <w:noProof/>
                    <w:webHidden/>
                  </w:rPr>
                </w:r>
                <w:r w:rsidR="006009A3">
                  <w:rPr>
                    <w:noProof/>
                    <w:webHidden/>
                  </w:rPr>
                  <w:fldChar w:fldCharType="separate"/>
                </w:r>
                <w:r w:rsidR="006009A3">
                  <w:rPr>
                    <w:noProof/>
                    <w:webHidden/>
                  </w:rPr>
                  <w:t>17</w:t>
                </w:r>
                <w:r w:rsidR="006009A3">
                  <w:rPr>
                    <w:noProof/>
                    <w:webHidden/>
                  </w:rPr>
                  <w:fldChar w:fldCharType="end"/>
                </w:r>
              </w:hyperlink>
            </w:p>
            <w:p w14:paraId="0CFA8154" w14:textId="77777777" w:rsidR="006009A3" w:rsidRDefault="005C64FC">
              <w:pPr>
                <w:pStyle w:val="TOC1"/>
                <w:tabs>
                  <w:tab w:val="right" w:leader="dot" w:pos="13948"/>
                </w:tabs>
                <w:rPr>
                  <w:rFonts w:cstheme="minorBidi"/>
                  <w:noProof/>
                  <w:lang w:val="en-GB" w:eastAsia="en-GB"/>
                </w:rPr>
              </w:pPr>
              <w:hyperlink w:anchor="_Toc56757691" w:history="1">
                <w:r w:rsidR="006009A3" w:rsidRPr="00453354">
                  <w:rPr>
                    <w:rStyle w:val="Hyperlink"/>
                    <w:b/>
                    <w:noProof/>
                  </w:rPr>
                  <w:t>INDICATOR REF: CHN9 - Balance of Care for looked after children: % of children being looked after in the community</w:t>
                </w:r>
                <w:r w:rsidR="006009A3">
                  <w:rPr>
                    <w:noProof/>
                    <w:webHidden/>
                  </w:rPr>
                  <w:tab/>
                </w:r>
                <w:r w:rsidR="006009A3">
                  <w:rPr>
                    <w:noProof/>
                    <w:webHidden/>
                  </w:rPr>
                  <w:fldChar w:fldCharType="begin"/>
                </w:r>
                <w:r w:rsidR="006009A3">
                  <w:rPr>
                    <w:noProof/>
                    <w:webHidden/>
                  </w:rPr>
                  <w:instrText xml:space="preserve"> PAGEREF _Toc56757691 \h </w:instrText>
                </w:r>
                <w:r w:rsidR="006009A3">
                  <w:rPr>
                    <w:noProof/>
                    <w:webHidden/>
                  </w:rPr>
                </w:r>
                <w:r w:rsidR="006009A3">
                  <w:rPr>
                    <w:noProof/>
                    <w:webHidden/>
                  </w:rPr>
                  <w:fldChar w:fldCharType="separate"/>
                </w:r>
                <w:r w:rsidR="006009A3">
                  <w:rPr>
                    <w:noProof/>
                    <w:webHidden/>
                  </w:rPr>
                  <w:t>18</w:t>
                </w:r>
                <w:r w:rsidR="006009A3">
                  <w:rPr>
                    <w:noProof/>
                    <w:webHidden/>
                  </w:rPr>
                  <w:fldChar w:fldCharType="end"/>
                </w:r>
              </w:hyperlink>
            </w:p>
            <w:p w14:paraId="01402798" w14:textId="77777777" w:rsidR="006009A3" w:rsidRDefault="005C64FC">
              <w:pPr>
                <w:pStyle w:val="TOC1"/>
                <w:tabs>
                  <w:tab w:val="right" w:leader="dot" w:pos="13948"/>
                </w:tabs>
                <w:rPr>
                  <w:rFonts w:cstheme="minorBidi"/>
                  <w:noProof/>
                  <w:lang w:val="en-GB" w:eastAsia="en-GB"/>
                </w:rPr>
              </w:pPr>
              <w:hyperlink w:anchor="_Toc56757692" w:history="1">
                <w:r w:rsidR="006009A3" w:rsidRPr="00453354">
                  <w:rPr>
                    <w:rStyle w:val="Hyperlink"/>
                    <w:b/>
                    <w:noProof/>
                  </w:rPr>
                  <w:t>INDICATOR REF: CHN22 - Percentage of child protection re-registrations within 18 months</w:t>
                </w:r>
                <w:r w:rsidR="006009A3">
                  <w:rPr>
                    <w:noProof/>
                    <w:webHidden/>
                  </w:rPr>
                  <w:tab/>
                </w:r>
                <w:r w:rsidR="006009A3">
                  <w:rPr>
                    <w:noProof/>
                    <w:webHidden/>
                  </w:rPr>
                  <w:fldChar w:fldCharType="begin"/>
                </w:r>
                <w:r w:rsidR="006009A3">
                  <w:rPr>
                    <w:noProof/>
                    <w:webHidden/>
                  </w:rPr>
                  <w:instrText xml:space="preserve"> PAGEREF _Toc56757692 \h </w:instrText>
                </w:r>
                <w:r w:rsidR="006009A3">
                  <w:rPr>
                    <w:noProof/>
                    <w:webHidden/>
                  </w:rPr>
                </w:r>
                <w:r w:rsidR="006009A3">
                  <w:rPr>
                    <w:noProof/>
                    <w:webHidden/>
                  </w:rPr>
                  <w:fldChar w:fldCharType="separate"/>
                </w:r>
                <w:r w:rsidR="006009A3">
                  <w:rPr>
                    <w:noProof/>
                    <w:webHidden/>
                  </w:rPr>
                  <w:t>19</w:t>
                </w:r>
                <w:r w:rsidR="006009A3">
                  <w:rPr>
                    <w:noProof/>
                    <w:webHidden/>
                  </w:rPr>
                  <w:fldChar w:fldCharType="end"/>
                </w:r>
              </w:hyperlink>
            </w:p>
            <w:p w14:paraId="153BAEEA" w14:textId="77777777" w:rsidR="006009A3" w:rsidRDefault="005C64FC">
              <w:pPr>
                <w:pStyle w:val="TOC1"/>
                <w:tabs>
                  <w:tab w:val="right" w:leader="dot" w:pos="13948"/>
                </w:tabs>
                <w:rPr>
                  <w:rFonts w:cstheme="minorBidi"/>
                  <w:noProof/>
                  <w:lang w:val="en-GB" w:eastAsia="en-GB"/>
                </w:rPr>
              </w:pPr>
              <w:hyperlink w:anchor="_Toc56757693" w:history="1">
                <w:r w:rsidR="006009A3" w:rsidRPr="00453354">
                  <w:rPr>
                    <w:rStyle w:val="Hyperlink"/>
                    <w:b/>
                    <w:noProof/>
                  </w:rPr>
                  <w:t>INDICATOR REF: CHN23 - Percentage of Looked After Children with more than 1 placement in the last year (Aug-July)</w:t>
                </w:r>
                <w:r w:rsidR="006009A3">
                  <w:rPr>
                    <w:noProof/>
                    <w:webHidden/>
                  </w:rPr>
                  <w:tab/>
                </w:r>
                <w:r w:rsidR="006009A3">
                  <w:rPr>
                    <w:noProof/>
                    <w:webHidden/>
                  </w:rPr>
                  <w:fldChar w:fldCharType="begin"/>
                </w:r>
                <w:r w:rsidR="006009A3">
                  <w:rPr>
                    <w:noProof/>
                    <w:webHidden/>
                  </w:rPr>
                  <w:instrText xml:space="preserve"> PAGEREF _Toc56757693 \h </w:instrText>
                </w:r>
                <w:r w:rsidR="006009A3">
                  <w:rPr>
                    <w:noProof/>
                    <w:webHidden/>
                  </w:rPr>
                </w:r>
                <w:r w:rsidR="006009A3">
                  <w:rPr>
                    <w:noProof/>
                    <w:webHidden/>
                  </w:rPr>
                  <w:fldChar w:fldCharType="separate"/>
                </w:r>
                <w:r w:rsidR="006009A3">
                  <w:rPr>
                    <w:noProof/>
                    <w:webHidden/>
                  </w:rPr>
                  <w:t>20</w:t>
                </w:r>
                <w:r w:rsidR="006009A3">
                  <w:rPr>
                    <w:noProof/>
                    <w:webHidden/>
                  </w:rPr>
                  <w:fldChar w:fldCharType="end"/>
                </w:r>
              </w:hyperlink>
            </w:p>
            <w:p w14:paraId="2DB1FF6E" w14:textId="77777777" w:rsidR="006009A3" w:rsidRDefault="005C64FC">
              <w:pPr>
                <w:pStyle w:val="TOC2"/>
                <w:tabs>
                  <w:tab w:val="right" w:leader="dot" w:pos="13948"/>
                </w:tabs>
                <w:rPr>
                  <w:rFonts w:cstheme="minorBidi"/>
                  <w:noProof/>
                  <w:lang w:val="en-GB" w:eastAsia="en-GB"/>
                </w:rPr>
              </w:pPr>
              <w:hyperlink w:anchor="_Toc56757694" w:history="1">
                <w:r w:rsidR="006009A3" w:rsidRPr="00453354">
                  <w:rPr>
                    <w:rStyle w:val="Hyperlink"/>
                    <w:b/>
                    <w:noProof/>
                  </w:rPr>
                  <w:t>FINANCIAL SERVICES</w:t>
                </w:r>
                <w:r w:rsidR="006009A3">
                  <w:rPr>
                    <w:noProof/>
                    <w:webHidden/>
                  </w:rPr>
                  <w:tab/>
                </w:r>
                <w:r w:rsidR="006009A3">
                  <w:rPr>
                    <w:noProof/>
                    <w:webHidden/>
                  </w:rPr>
                  <w:fldChar w:fldCharType="begin"/>
                </w:r>
                <w:r w:rsidR="006009A3">
                  <w:rPr>
                    <w:noProof/>
                    <w:webHidden/>
                  </w:rPr>
                  <w:instrText xml:space="preserve"> PAGEREF _Toc56757694 \h </w:instrText>
                </w:r>
                <w:r w:rsidR="006009A3">
                  <w:rPr>
                    <w:noProof/>
                    <w:webHidden/>
                  </w:rPr>
                </w:r>
                <w:r w:rsidR="006009A3">
                  <w:rPr>
                    <w:noProof/>
                    <w:webHidden/>
                  </w:rPr>
                  <w:fldChar w:fldCharType="separate"/>
                </w:r>
                <w:r w:rsidR="006009A3">
                  <w:rPr>
                    <w:noProof/>
                    <w:webHidden/>
                  </w:rPr>
                  <w:t>21</w:t>
                </w:r>
                <w:r w:rsidR="006009A3">
                  <w:rPr>
                    <w:noProof/>
                    <w:webHidden/>
                  </w:rPr>
                  <w:fldChar w:fldCharType="end"/>
                </w:r>
              </w:hyperlink>
            </w:p>
            <w:p w14:paraId="20A0FBB0" w14:textId="77777777" w:rsidR="006009A3" w:rsidRDefault="005C64FC">
              <w:pPr>
                <w:pStyle w:val="TOC1"/>
                <w:tabs>
                  <w:tab w:val="right" w:leader="dot" w:pos="13948"/>
                </w:tabs>
                <w:rPr>
                  <w:rFonts w:cstheme="minorBidi"/>
                  <w:noProof/>
                  <w:lang w:val="en-GB" w:eastAsia="en-GB"/>
                </w:rPr>
              </w:pPr>
              <w:hyperlink w:anchor="_Toc56757695" w:history="1">
                <w:r w:rsidR="006009A3" w:rsidRPr="00453354">
                  <w:rPr>
                    <w:rStyle w:val="Hyperlink"/>
                    <w:b/>
                    <w:noProof/>
                  </w:rPr>
                  <w:t>INDICATOR REF: CORP 4 - The cost per dwelling of collecting Council Tax</w:t>
                </w:r>
                <w:r w:rsidR="006009A3">
                  <w:rPr>
                    <w:noProof/>
                    <w:webHidden/>
                  </w:rPr>
                  <w:tab/>
                </w:r>
                <w:r w:rsidR="006009A3">
                  <w:rPr>
                    <w:noProof/>
                    <w:webHidden/>
                  </w:rPr>
                  <w:fldChar w:fldCharType="begin"/>
                </w:r>
                <w:r w:rsidR="006009A3">
                  <w:rPr>
                    <w:noProof/>
                    <w:webHidden/>
                  </w:rPr>
                  <w:instrText xml:space="preserve"> PAGEREF _Toc56757695 \h </w:instrText>
                </w:r>
                <w:r w:rsidR="006009A3">
                  <w:rPr>
                    <w:noProof/>
                    <w:webHidden/>
                  </w:rPr>
                </w:r>
                <w:r w:rsidR="006009A3">
                  <w:rPr>
                    <w:noProof/>
                    <w:webHidden/>
                  </w:rPr>
                  <w:fldChar w:fldCharType="separate"/>
                </w:r>
                <w:r w:rsidR="006009A3">
                  <w:rPr>
                    <w:noProof/>
                    <w:webHidden/>
                  </w:rPr>
                  <w:t>21</w:t>
                </w:r>
                <w:r w:rsidR="006009A3">
                  <w:rPr>
                    <w:noProof/>
                    <w:webHidden/>
                  </w:rPr>
                  <w:fldChar w:fldCharType="end"/>
                </w:r>
              </w:hyperlink>
            </w:p>
            <w:p w14:paraId="5AE44D2A" w14:textId="77777777" w:rsidR="006009A3" w:rsidRDefault="005C64FC">
              <w:pPr>
                <w:pStyle w:val="TOC1"/>
                <w:tabs>
                  <w:tab w:val="right" w:leader="dot" w:pos="13948"/>
                </w:tabs>
                <w:rPr>
                  <w:rFonts w:cstheme="minorBidi"/>
                  <w:noProof/>
                  <w:lang w:val="en-GB" w:eastAsia="en-GB"/>
                </w:rPr>
              </w:pPr>
              <w:hyperlink w:anchor="_Toc56757696" w:history="1">
                <w:r w:rsidR="006009A3" w:rsidRPr="00453354">
                  <w:rPr>
                    <w:rStyle w:val="Hyperlink"/>
                    <w:b/>
                    <w:noProof/>
                  </w:rPr>
                  <w:t>INDICATOR REF: CORP 7 - Percentage of income due from Council Tax received by the end of the year</w:t>
                </w:r>
                <w:r w:rsidR="006009A3">
                  <w:rPr>
                    <w:noProof/>
                    <w:webHidden/>
                  </w:rPr>
                  <w:tab/>
                </w:r>
                <w:r w:rsidR="006009A3">
                  <w:rPr>
                    <w:noProof/>
                    <w:webHidden/>
                  </w:rPr>
                  <w:fldChar w:fldCharType="begin"/>
                </w:r>
                <w:r w:rsidR="006009A3">
                  <w:rPr>
                    <w:noProof/>
                    <w:webHidden/>
                  </w:rPr>
                  <w:instrText xml:space="preserve"> PAGEREF _Toc56757696 \h </w:instrText>
                </w:r>
                <w:r w:rsidR="006009A3">
                  <w:rPr>
                    <w:noProof/>
                    <w:webHidden/>
                  </w:rPr>
                </w:r>
                <w:r w:rsidR="006009A3">
                  <w:rPr>
                    <w:noProof/>
                    <w:webHidden/>
                  </w:rPr>
                  <w:fldChar w:fldCharType="separate"/>
                </w:r>
                <w:r w:rsidR="006009A3">
                  <w:rPr>
                    <w:noProof/>
                    <w:webHidden/>
                  </w:rPr>
                  <w:t>23</w:t>
                </w:r>
                <w:r w:rsidR="006009A3">
                  <w:rPr>
                    <w:noProof/>
                    <w:webHidden/>
                  </w:rPr>
                  <w:fldChar w:fldCharType="end"/>
                </w:r>
              </w:hyperlink>
            </w:p>
            <w:p w14:paraId="03712BA0" w14:textId="77777777" w:rsidR="006009A3" w:rsidRDefault="005C64FC">
              <w:pPr>
                <w:pStyle w:val="TOC1"/>
                <w:tabs>
                  <w:tab w:val="right" w:leader="dot" w:pos="13948"/>
                </w:tabs>
                <w:rPr>
                  <w:rFonts w:cstheme="minorBidi"/>
                  <w:noProof/>
                  <w:lang w:val="en-GB" w:eastAsia="en-GB"/>
                </w:rPr>
              </w:pPr>
              <w:hyperlink w:anchor="_Toc56757697" w:history="1">
                <w:r w:rsidR="006009A3" w:rsidRPr="00453354">
                  <w:rPr>
                    <w:rStyle w:val="Hyperlink"/>
                    <w:b/>
                    <w:noProof/>
                  </w:rPr>
                  <w:t>INDICATOR REF: CORP 8 - Percentage of invoices sampled that were paid within 30 days</w:t>
                </w:r>
                <w:r w:rsidR="006009A3">
                  <w:rPr>
                    <w:noProof/>
                    <w:webHidden/>
                  </w:rPr>
                  <w:tab/>
                </w:r>
                <w:r w:rsidR="006009A3">
                  <w:rPr>
                    <w:noProof/>
                    <w:webHidden/>
                  </w:rPr>
                  <w:fldChar w:fldCharType="begin"/>
                </w:r>
                <w:r w:rsidR="006009A3">
                  <w:rPr>
                    <w:noProof/>
                    <w:webHidden/>
                  </w:rPr>
                  <w:instrText xml:space="preserve"> PAGEREF _Toc56757697 \h </w:instrText>
                </w:r>
                <w:r w:rsidR="006009A3">
                  <w:rPr>
                    <w:noProof/>
                    <w:webHidden/>
                  </w:rPr>
                </w:r>
                <w:r w:rsidR="006009A3">
                  <w:rPr>
                    <w:noProof/>
                    <w:webHidden/>
                  </w:rPr>
                  <w:fldChar w:fldCharType="separate"/>
                </w:r>
                <w:r w:rsidR="006009A3">
                  <w:rPr>
                    <w:noProof/>
                    <w:webHidden/>
                  </w:rPr>
                  <w:t>24</w:t>
                </w:r>
                <w:r w:rsidR="006009A3">
                  <w:rPr>
                    <w:noProof/>
                    <w:webHidden/>
                  </w:rPr>
                  <w:fldChar w:fldCharType="end"/>
                </w:r>
              </w:hyperlink>
            </w:p>
            <w:p w14:paraId="27A34F60" w14:textId="77777777" w:rsidR="006009A3" w:rsidRDefault="005C64FC">
              <w:pPr>
                <w:pStyle w:val="TOC2"/>
                <w:tabs>
                  <w:tab w:val="right" w:leader="dot" w:pos="13948"/>
                </w:tabs>
                <w:rPr>
                  <w:rFonts w:cstheme="minorBidi"/>
                  <w:noProof/>
                  <w:lang w:val="en-GB" w:eastAsia="en-GB"/>
                </w:rPr>
              </w:pPr>
              <w:hyperlink w:anchor="_Toc56757698" w:history="1">
                <w:r w:rsidR="006009A3" w:rsidRPr="00453354">
                  <w:rPr>
                    <w:rStyle w:val="Hyperlink"/>
                    <w:b/>
                    <w:noProof/>
                  </w:rPr>
                  <w:t>COMMERCIAL SERVICES</w:t>
                </w:r>
                <w:r w:rsidR="006009A3">
                  <w:rPr>
                    <w:noProof/>
                    <w:webHidden/>
                  </w:rPr>
                  <w:tab/>
                </w:r>
                <w:r w:rsidR="006009A3">
                  <w:rPr>
                    <w:noProof/>
                    <w:webHidden/>
                  </w:rPr>
                  <w:fldChar w:fldCharType="begin"/>
                </w:r>
                <w:r w:rsidR="006009A3">
                  <w:rPr>
                    <w:noProof/>
                    <w:webHidden/>
                  </w:rPr>
                  <w:instrText xml:space="preserve"> PAGEREF _Toc56757698 \h </w:instrText>
                </w:r>
                <w:r w:rsidR="006009A3">
                  <w:rPr>
                    <w:noProof/>
                    <w:webHidden/>
                  </w:rPr>
                </w:r>
                <w:r w:rsidR="006009A3">
                  <w:rPr>
                    <w:noProof/>
                    <w:webHidden/>
                  </w:rPr>
                  <w:fldChar w:fldCharType="separate"/>
                </w:r>
                <w:r w:rsidR="006009A3">
                  <w:rPr>
                    <w:noProof/>
                    <w:webHidden/>
                  </w:rPr>
                  <w:t>25</w:t>
                </w:r>
                <w:r w:rsidR="006009A3">
                  <w:rPr>
                    <w:noProof/>
                    <w:webHidden/>
                  </w:rPr>
                  <w:fldChar w:fldCharType="end"/>
                </w:r>
              </w:hyperlink>
            </w:p>
            <w:p w14:paraId="3F28DCD5" w14:textId="77777777" w:rsidR="006009A3" w:rsidRDefault="005C64FC">
              <w:pPr>
                <w:pStyle w:val="TOC1"/>
                <w:tabs>
                  <w:tab w:val="right" w:leader="dot" w:pos="13948"/>
                </w:tabs>
                <w:rPr>
                  <w:rFonts w:cstheme="minorBidi"/>
                  <w:noProof/>
                  <w:lang w:val="en-GB" w:eastAsia="en-GB"/>
                </w:rPr>
              </w:pPr>
              <w:hyperlink w:anchor="_Toc56757699" w:history="1">
                <w:r w:rsidR="006009A3" w:rsidRPr="00453354">
                  <w:rPr>
                    <w:rStyle w:val="Hyperlink"/>
                    <w:rFonts w:cstheme="majorHAnsi"/>
                    <w:b/>
                    <w:noProof/>
                  </w:rPr>
                  <w:t>IN</w:t>
                </w:r>
                <w:r w:rsidR="006009A3" w:rsidRPr="00453354">
                  <w:rPr>
                    <w:rStyle w:val="Hyperlink"/>
                    <w:b/>
                    <w:noProof/>
                  </w:rPr>
                  <w:t>DICATOR REF: ECON 4 - Percentage of procurement spent on local enterprises</w:t>
                </w:r>
                <w:r w:rsidR="006009A3">
                  <w:rPr>
                    <w:noProof/>
                    <w:webHidden/>
                  </w:rPr>
                  <w:tab/>
                </w:r>
                <w:r w:rsidR="006009A3">
                  <w:rPr>
                    <w:noProof/>
                    <w:webHidden/>
                  </w:rPr>
                  <w:fldChar w:fldCharType="begin"/>
                </w:r>
                <w:r w:rsidR="006009A3">
                  <w:rPr>
                    <w:noProof/>
                    <w:webHidden/>
                  </w:rPr>
                  <w:instrText xml:space="preserve"> PAGEREF _Toc56757699 \h </w:instrText>
                </w:r>
                <w:r w:rsidR="006009A3">
                  <w:rPr>
                    <w:noProof/>
                    <w:webHidden/>
                  </w:rPr>
                </w:r>
                <w:r w:rsidR="006009A3">
                  <w:rPr>
                    <w:noProof/>
                    <w:webHidden/>
                  </w:rPr>
                  <w:fldChar w:fldCharType="separate"/>
                </w:r>
                <w:r w:rsidR="006009A3">
                  <w:rPr>
                    <w:noProof/>
                    <w:webHidden/>
                  </w:rPr>
                  <w:t>25</w:t>
                </w:r>
                <w:r w:rsidR="006009A3">
                  <w:rPr>
                    <w:noProof/>
                    <w:webHidden/>
                  </w:rPr>
                  <w:fldChar w:fldCharType="end"/>
                </w:r>
              </w:hyperlink>
            </w:p>
            <w:p w14:paraId="1DACB1BF" w14:textId="77777777" w:rsidR="006009A3" w:rsidRDefault="005C64FC">
              <w:pPr>
                <w:pStyle w:val="TOC1"/>
                <w:tabs>
                  <w:tab w:val="right" w:leader="dot" w:pos="13948"/>
                </w:tabs>
                <w:rPr>
                  <w:rFonts w:cstheme="minorBidi"/>
                  <w:noProof/>
                  <w:lang w:val="en-GB" w:eastAsia="en-GB"/>
                </w:rPr>
              </w:pPr>
              <w:hyperlink w:anchor="_Toc56757700" w:history="1">
                <w:r w:rsidR="006009A3" w:rsidRPr="00453354">
                  <w:rPr>
                    <w:rStyle w:val="Hyperlink"/>
                    <w:b/>
                    <w:noProof/>
                  </w:rPr>
                  <w:t>INDICATOR REF: CORP ASSET1 - Percentage of operational buildings that are suitable for their current use</w:t>
                </w:r>
                <w:r w:rsidR="006009A3">
                  <w:rPr>
                    <w:noProof/>
                    <w:webHidden/>
                  </w:rPr>
                  <w:tab/>
                </w:r>
                <w:r w:rsidR="006009A3">
                  <w:rPr>
                    <w:noProof/>
                    <w:webHidden/>
                  </w:rPr>
                  <w:fldChar w:fldCharType="begin"/>
                </w:r>
                <w:r w:rsidR="006009A3">
                  <w:rPr>
                    <w:noProof/>
                    <w:webHidden/>
                  </w:rPr>
                  <w:instrText xml:space="preserve"> PAGEREF _Toc56757700 \h </w:instrText>
                </w:r>
                <w:r w:rsidR="006009A3">
                  <w:rPr>
                    <w:noProof/>
                    <w:webHidden/>
                  </w:rPr>
                </w:r>
                <w:r w:rsidR="006009A3">
                  <w:rPr>
                    <w:noProof/>
                    <w:webHidden/>
                  </w:rPr>
                  <w:fldChar w:fldCharType="separate"/>
                </w:r>
                <w:r w:rsidR="006009A3">
                  <w:rPr>
                    <w:noProof/>
                    <w:webHidden/>
                  </w:rPr>
                  <w:t>26</w:t>
                </w:r>
                <w:r w:rsidR="006009A3">
                  <w:rPr>
                    <w:noProof/>
                    <w:webHidden/>
                  </w:rPr>
                  <w:fldChar w:fldCharType="end"/>
                </w:r>
              </w:hyperlink>
            </w:p>
            <w:p w14:paraId="052BA21D" w14:textId="77777777" w:rsidR="006009A3" w:rsidRDefault="005C64FC">
              <w:pPr>
                <w:pStyle w:val="TOC1"/>
                <w:tabs>
                  <w:tab w:val="right" w:leader="dot" w:pos="13948"/>
                </w:tabs>
                <w:rPr>
                  <w:rFonts w:cstheme="minorBidi"/>
                  <w:noProof/>
                  <w:lang w:val="en-GB" w:eastAsia="en-GB"/>
                </w:rPr>
              </w:pPr>
              <w:hyperlink w:anchor="_Toc56757701" w:history="1">
                <w:r w:rsidR="006009A3" w:rsidRPr="00453354">
                  <w:rPr>
                    <w:rStyle w:val="Hyperlink"/>
                    <w:b/>
                    <w:noProof/>
                  </w:rPr>
                  <w:t>INDICATOR REF: CORP ASSET2 - Percentage of internal floor area of operational buildings in satisfactory condition</w:t>
                </w:r>
                <w:r w:rsidR="006009A3">
                  <w:rPr>
                    <w:noProof/>
                    <w:webHidden/>
                  </w:rPr>
                  <w:tab/>
                </w:r>
                <w:r w:rsidR="006009A3">
                  <w:rPr>
                    <w:noProof/>
                    <w:webHidden/>
                  </w:rPr>
                  <w:fldChar w:fldCharType="begin"/>
                </w:r>
                <w:r w:rsidR="006009A3">
                  <w:rPr>
                    <w:noProof/>
                    <w:webHidden/>
                  </w:rPr>
                  <w:instrText xml:space="preserve"> PAGEREF _Toc56757701 \h </w:instrText>
                </w:r>
                <w:r w:rsidR="006009A3">
                  <w:rPr>
                    <w:noProof/>
                    <w:webHidden/>
                  </w:rPr>
                </w:r>
                <w:r w:rsidR="006009A3">
                  <w:rPr>
                    <w:noProof/>
                    <w:webHidden/>
                  </w:rPr>
                  <w:fldChar w:fldCharType="separate"/>
                </w:r>
                <w:r w:rsidR="006009A3">
                  <w:rPr>
                    <w:noProof/>
                    <w:webHidden/>
                  </w:rPr>
                  <w:t>27</w:t>
                </w:r>
                <w:r w:rsidR="006009A3">
                  <w:rPr>
                    <w:noProof/>
                    <w:webHidden/>
                  </w:rPr>
                  <w:fldChar w:fldCharType="end"/>
                </w:r>
              </w:hyperlink>
            </w:p>
            <w:p w14:paraId="75F6EF13" w14:textId="77777777" w:rsidR="006009A3" w:rsidRDefault="005C64FC">
              <w:pPr>
                <w:pStyle w:val="TOC2"/>
                <w:tabs>
                  <w:tab w:val="right" w:leader="dot" w:pos="13948"/>
                </w:tabs>
                <w:rPr>
                  <w:rFonts w:cstheme="minorBidi"/>
                  <w:noProof/>
                  <w:lang w:val="en-GB" w:eastAsia="en-GB"/>
                </w:rPr>
              </w:pPr>
              <w:hyperlink w:anchor="_Toc56757702" w:history="1">
                <w:r w:rsidR="006009A3" w:rsidRPr="00453354">
                  <w:rPr>
                    <w:rStyle w:val="Hyperlink"/>
                    <w:b/>
                    <w:noProof/>
                  </w:rPr>
                  <w:t>CUSTOMER SUPPORT SERVICES</w:t>
                </w:r>
                <w:r w:rsidR="006009A3">
                  <w:rPr>
                    <w:noProof/>
                    <w:webHidden/>
                  </w:rPr>
                  <w:tab/>
                </w:r>
                <w:r w:rsidR="006009A3">
                  <w:rPr>
                    <w:noProof/>
                    <w:webHidden/>
                  </w:rPr>
                  <w:fldChar w:fldCharType="begin"/>
                </w:r>
                <w:r w:rsidR="006009A3">
                  <w:rPr>
                    <w:noProof/>
                    <w:webHidden/>
                  </w:rPr>
                  <w:instrText xml:space="preserve"> PAGEREF _Toc56757702 \h </w:instrText>
                </w:r>
                <w:r w:rsidR="006009A3">
                  <w:rPr>
                    <w:noProof/>
                    <w:webHidden/>
                  </w:rPr>
                </w:r>
                <w:r w:rsidR="006009A3">
                  <w:rPr>
                    <w:noProof/>
                    <w:webHidden/>
                  </w:rPr>
                  <w:fldChar w:fldCharType="separate"/>
                </w:r>
                <w:r w:rsidR="006009A3">
                  <w:rPr>
                    <w:noProof/>
                    <w:webHidden/>
                  </w:rPr>
                  <w:t>28</w:t>
                </w:r>
                <w:r w:rsidR="006009A3">
                  <w:rPr>
                    <w:noProof/>
                    <w:webHidden/>
                  </w:rPr>
                  <w:fldChar w:fldCharType="end"/>
                </w:r>
              </w:hyperlink>
            </w:p>
            <w:p w14:paraId="1D3EA31E" w14:textId="77777777" w:rsidR="006009A3" w:rsidRDefault="005C64FC">
              <w:pPr>
                <w:pStyle w:val="TOC1"/>
                <w:tabs>
                  <w:tab w:val="right" w:leader="dot" w:pos="13948"/>
                </w:tabs>
                <w:rPr>
                  <w:rFonts w:cstheme="minorBidi"/>
                  <w:noProof/>
                  <w:lang w:val="en-GB" w:eastAsia="en-GB"/>
                </w:rPr>
              </w:pPr>
              <w:hyperlink w:anchor="_Toc56757703" w:history="1">
                <w:r w:rsidR="006009A3" w:rsidRPr="00453354">
                  <w:rPr>
                    <w:rStyle w:val="Hyperlink"/>
                    <w:b/>
                    <w:noProof/>
                  </w:rPr>
                  <w:t>INDICATOR REF: CORP 3b - The percentage of the highest paid 5% of employees who are women</w:t>
                </w:r>
                <w:r w:rsidR="006009A3">
                  <w:rPr>
                    <w:noProof/>
                    <w:webHidden/>
                  </w:rPr>
                  <w:tab/>
                </w:r>
                <w:r w:rsidR="006009A3">
                  <w:rPr>
                    <w:noProof/>
                    <w:webHidden/>
                  </w:rPr>
                  <w:fldChar w:fldCharType="begin"/>
                </w:r>
                <w:r w:rsidR="006009A3">
                  <w:rPr>
                    <w:noProof/>
                    <w:webHidden/>
                  </w:rPr>
                  <w:instrText xml:space="preserve"> PAGEREF _Toc56757703 \h </w:instrText>
                </w:r>
                <w:r w:rsidR="006009A3">
                  <w:rPr>
                    <w:noProof/>
                    <w:webHidden/>
                  </w:rPr>
                </w:r>
                <w:r w:rsidR="006009A3">
                  <w:rPr>
                    <w:noProof/>
                    <w:webHidden/>
                  </w:rPr>
                  <w:fldChar w:fldCharType="separate"/>
                </w:r>
                <w:r w:rsidR="006009A3">
                  <w:rPr>
                    <w:noProof/>
                    <w:webHidden/>
                  </w:rPr>
                  <w:t>28</w:t>
                </w:r>
                <w:r w:rsidR="006009A3">
                  <w:rPr>
                    <w:noProof/>
                    <w:webHidden/>
                  </w:rPr>
                  <w:fldChar w:fldCharType="end"/>
                </w:r>
              </w:hyperlink>
            </w:p>
            <w:p w14:paraId="07046914" w14:textId="77777777" w:rsidR="006009A3" w:rsidRDefault="005C64FC">
              <w:pPr>
                <w:pStyle w:val="TOC1"/>
                <w:tabs>
                  <w:tab w:val="right" w:leader="dot" w:pos="13948"/>
                </w:tabs>
                <w:rPr>
                  <w:rFonts w:cstheme="minorBidi"/>
                  <w:noProof/>
                  <w:lang w:val="en-GB" w:eastAsia="en-GB"/>
                </w:rPr>
              </w:pPr>
              <w:hyperlink w:anchor="_Toc56757704" w:history="1">
                <w:r w:rsidR="006009A3" w:rsidRPr="00453354">
                  <w:rPr>
                    <w:rStyle w:val="Hyperlink"/>
                    <w:b/>
                    <w:noProof/>
                  </w:rPr>
                  <w:t>INDICATOR REF: CORP 3c - The gender pay gap(%)</w:t>
                </w:r>
                <w:r w:rsidR="006009A3">
                  <w:rPr>
                    <w:noProof/>
                    <w:webHidden/>
                  </w:rPr>
                  <w:tab/>
                </w:r>
                <w:r w:rsidR="006009A3">
                  <w:rPr>
                    <w:noProof/>
                    <w:webHidden/>
                  </w:rPr>
                  <w:fldChar w:fldCharType="begin"/>
                </w:r>
                <w:r w:rsidR="006009A3">
                  <w:rPr>
                    <w:noProof/>
                    <w:webHidden/>
                  </w:rPr>
                  <w:instrText xml:space="preserve"> PAGEREF _Toc56757704 \h </w:instrText>
                </w:r>
                <w:r w:rsidR="006009A3">
                  <w:rPr>
                    <w:noProof/>
                    <w:webHidden/>
                  </w:rPr>
                </w:r>
                <w:r w:rsidR="006009A3">
                  <w:rPr>
                    <w:noProof/>
                    <w:webHidden/>
                  </w:rPr>
                  <w:fldChar w:fldCharType="separate"/>
                </w:r>
                <w:r w:rsidR="006009A3">
                  <w:rPr>
                    <w:noProof/>
                    <w:webHidden/>
                  </w:rPr>
                  <w:t>29</w:t>
                </w:r>
                <w:r w:rsidR="006009A3">
                  <w:rPr>
                    <w:noProof/>
                    <w:webHidden/>
                  </w:rPr>
                  <w:fldChar w:fldCharType="end"/>
                </w:r>
              </w:hyperlink>
            </w:p>
            <w:p w14:paraId="4F3FDA10" w14:textId="77777777" w:rsidR="006009A3" w:rsidRDefault="005C64FC">
              <w:pPr>
                <w:pStyle w:val="TOC1"/>
                <w:tabs>
                  <w:tab w:val="right" w:leader="dot" w:pos="13948"/>
                </w:tabs>
                <w:rPr>
                  <w:rFonts w:cstheme="minorBidi"/>
                  <w:noProof/>
                  <w:lang w:val="en-GB" w:eastAsia="en-GB"/>
                </w:rPr>
              </w:pPr>
              <w:hyperlink w:anchor="_Toc56757705" w:history="1">
                <w:r w:rsidR="006009A3" w:rsidRPr="00453354">
                  <w:rPr>
                    <w:rStyle w:val="Hyperlink"/>
                    <w:b/>
                    <w:noProof/>
                  </w:rPr>
                  <w:t>INDICATOR REF: CORP 6a - Sickness absence days per teacher</w:t>
                </w:r>
                <w:r w:rsidR="006009A3">
                  <w:rPr>
                    <w:noProof/>
                    <w:webHidden/>
                  </w:rPr>
                  <w:tab/>
                </w:r>
                <w:r w:rsidR="006009A3">
                  <w:rPr>
                    <w:noProof/>
                    <w:webHidden/>
                  </w:rPr>
                  <w:fldChar w:fldCharType="begin"/>
                </w:r>
                <w:r w:rsidR="006009A3">
                  <w:rPr>
                    <w:noProof/>
                    <w:webHidden/>
                  </w:rPr>
                  <w:instrText xml:space="preserve"> PAGEREF _Toc56757705 \h </w:instrText>
                </w:r>
                <w:r w:rsidR="006009A3">
                  <w:rPr>
                    <w:noProof/>
                    <w:webHidden/>
                  </w:rPr>
                </w:r>
                <w:r w:rsidR="006009A3">
                  <w:rPr>
                    <w:noProof/>
                    <w:webHidden/>
                  </w:rPr>
                  <w:fldChar w:fldCharType="separate"/>
                </w:r>
                <w:r w:rsidR="006009A3">
                  <w:rPr>
                    <w:noProof/>
                    <w:webHidden/>
                  </w:rPr>
                  <w:t>31</w:t>
                </w:r>
                <w:r w:rsidR="006009A3">
                  <w:rPr>
                    <w:noProof/>
                    <w:webHidden/>
                  </w:rPr>
                  <w:fldChar w:fldCharType="end"/>
                </w:r>
              </w:hyperlink>
            </w:p>
            <w:p w14:paraId="5F9D81AF" w14:textId="77777777" w:rsidR="006009A3" w:rsidRDefault="005C64FC">
              <w:pPr>
                <w:pStyle w:val="TOC1"/>
                <w:tabs>
                  <w:tab w:val="right" w:leader="dot" w:pos="13948"/>
                </w:tabs>
                <w:rPr>
                  <w:rFonts w:cstheme="minorBidi"/>
                  <w:noProof/>
                  <w:lang w:val="en-GB" w:eastAsia="en-GB"/>
                </w:rPr>
              </w:pPr>
              <w:hyperlink w:anchor="_Toc56757706" w:history="1">
                <w:r w:rsidR="006009A3" w:rsidRPr="00453354">
                  <w:rPr>
                    <w:rStyle w:val="Hyperlink"/>
                    <w:b/>
                    <w:noProof/>
                  </w:rPr>
                  <w:t>INDICATOR REF: CORP 6b - Sickness absence days per employee (non-teacher)</w:t>
                </w:r>
                <w:r w:rsidR="006009A3">
                  <w:rPr>
                    <w:noProof/>
                    <w:webHidden/>
                  </w:rPr>
                  <w:tab/>
                </w:r>
                <w:r w:rsidR="006009A3">
                  <w:rPr>
                    <w:noProof/>
                    <w:webHidden/>
                  </w:rPr>
                  <w:fldChar w:fldCharType="begin"/>
                </w:r>
                <w:r w:rsidR="006009A3">
                  <w:rPr>
                    <w:noProof/>
                    <w:webHidden/>
                  </w:rPr>
                  <w:instrText xml:space="preserve"> PAGEREF _Toc56757706 \h </w:instrText>
                </w:r>
                <w:r w:rsidR="006009A3">
                  <w:rPr>
                    <w:noProof/>
                    <w:webHidden/>
                  </w:rPr>
                </w:r>
                <w:r w:rsidR="006009A3">
                  <w:rPr>
                    <w:noProof/>
                    <w:webHidden/>
                  </w:rPr>
                  <w:fldChar w:fldCharType="separate"/>
                </w:r>
                <w:r w:rsidR="006009A3">
                  <w:rPr>
                    <w:noProof/>
                    <w:webHidden/>
                  </w:rPr>
                  <w:t>32</w:t>
                </w:r>
                <w:r w:rsidR="006009A3">
                  <w:rPr>
                    <w:noProof/>
                    <w:webHidden/>
                  </w:rPr>
                  <w:fldChar w:fldCharType="end"/>
                </w:r>
              </w:hyperlink>
            </w:p>
            <w:p w14:paraId="388509AA" w14:textId="77777777" w:rsidR="006009A3" w:rsidRDefault="005C64FC">
              <w:pPr>
                <w:pStyle w:val="TOC2"/>
                <w:tabs>
                  <w:tab w:val="right" w:leader="dot" w:pos="13948"/>
                </w:tabs>
                <w:rPr>
                  <w:rFonts w:cstheme="minorBidi"/>
                  <w:noProof/>
                  <w:lang w:val="en-GB" w:eastAsia="en-GB"/>
                </w:rPr>
              </w:pPr>
              <w:hyperlink w:anchor="_Toc56757707" w:history="1">
                <w:r w:rsidR="006009A3" w:rsidRPr="00453354">
                  <w:rPr>
                    <w:rStyle w:val="Hyperlink"/>
                    <w:b/>
                    <w:noProof/>
                  </w:rPr>
                  <w:t>ADULT CARE</w:t>
                </w:r>
                <w:r w:rsidR="006009A3">
                  <w:rPr>
                    <w:noProof/>
                    <w:webHidden/>
                  </w:rPr>
                  <w:tab/>
                </w:r>
                <w:r w:rsidR="006009A3">
                  <w:rPr>
                    <w:noProof/>
                    <w:webHidden/>
                  </w:rPr>
                  <w:fldChar w:fldCharType="begin"/>
                </w:r>
                <w:r w:rsidR="006009A3">
                  <w:rPr>
                    <w:noProof/>
                    <w:webHidden/>
                  </w:rPr>
                  <w:instrText xml:space="preserve"> PAGEREF _Toc56757707 \h </w:instrText>
                </w:r>
                <w:r w:rsidR="006009A3">
                  <w:rPr>
                    <w:noProof/>
                    <w:webHidden/>
                  </w:rPr>
                </w:r>
                <w:r w:rsidR="006009A3">
                  <w:rPr>
                    <w:noProof/>
                    <w:webHidden/>
                  </w:rPr>
                  <w:fldChar w:fldCharType="separate"/>
                </w:r>
                <w:r w:rsidR="006009A3">
                  <w:rPr>
                    <w:noProof/>
                    <w:webHidden/>
                  </w:rPr>
                  <w:t>33</w:t>
                </w:r>
                <w:r w:rsidR="006009A3">
                  <w:rPr>
                    <w:noProof/>
                    <w:webHidden/>
                  </w:rPr>
                  <w:fldChar w:fldCharType="end"/>
                </w:r>
              </w:hyperlink>
            </w:p>
            <w:p w14:paraId="62D09898" w14:textId="77777777" w:rsidR="006009A3" w:rsidRDefault="005C64FC">
              <w:pPr>
                <w:pStyle w:val="TOC1"/>
                <w:tabs>
                  <w:tab w:val="right" w:leader="dot" w:pos="13948"/>
                </w:tabs>
                <w:rPr>
                  <w:rFonts w:cstheme="minorBidi"/>
                  <w:noProof/>
                  <w:lang w:val="en-GB" w:eastAsia="en-GB"/>
                </w:rPr>
              </w:pPr>
              <w:hyperlink w:anchor="_Toc56757708" w:history="1">
                <w:r w:rsidR="006009A3" w:rsidRPr="00453354">
                  <w:rPr>
                    <w:rStyle w:val="Hyperlink"/>
                    <w:b/>
                    <w:noProof/>
                  </w:rPr>
                  <w:t>INDICATOR REF: SW3a - Percentage of people 65 and over with long-term needs who are receiving personal care at home</w:t>
                </w:r>
                <w:r w:rsidR="006009A3">
                  <w:rPr>
                    <w:noProof/>
                    <w:webHidden/>
                  </w:rPr>
                  <w:tab/>
                </w:r>
                <w:r w:rsidR="006009A3">
                  <w:rPr>
                    <w:noProof/>
                    <w:webHidden/>
                  </w:rPr>
                  <w:fldChar w:fldCharType="begin"/>
                </w:r>
                <w:r w:rsidR="006009A3">
                  <w:rPr>
                    <w:noProof/>
                    <w:webHidden/>
                  </w:rPr>
                  <w:instrText xml:space="preserve"> PAGEREF _Toc56757708 \h </w:instrText>
                </w:r>
                <w:r w:rsidR="006009A3">
                  <w:rPr>
                    <w:noProof/>
                    <w:webHidden/>
                  </w:rPr>
                </w:r>
                <w:r w:rsidR="006009A3">
                  <w:rPr>
                    <w:noProof/>
                    <w:webHidden/>
                  </w:rPr>
                  <w:fldChar w:fldCharType="separate"/>
                </w:r>
                <w:r w:rsidR="006009A3">
                  <w:rPr>
                    <w:noProof/>
                    <w:webHidden/>
                  </w:rPr>
                  <w:t>33</w:t>
                </w:r>
                <w:r w:rsidR="006009A3">
                  <w:rPr>
                    <w:noProof/>
                    <w:webHidden/>
                  </w:rPr>
                  <w:fldChar w:fldCharType="end"/>
                </w:r>
              </w:hyperlink>
            </w:p>
            <w:p w14:paraId="777AF740" w14:textId="77777777" w:rsidR="006009A3" w:rsidRDefault="005C64FC">
              <w:pPr>
                <w:pStyle w:val="TOC1"/>
                <w:tabs>
                  <w:tab w:val="right" w:leader="dot" w:pos="13948"/>
                </w:tabs>
                <w:rPr>
                  <w:rFonts w:cstheme="minorBidi"/>
                  <w:noProof/>
                  <w:lang w:val="en-GB" w:eastAsia="en-GB"/>
                </w:rPr>
              </w:pPr>
              <w:hyperlink w:anchor="_Toc56757709" w:history="1">
                <w:r w:rsidR="006009A3" w:rsidRPr="00453354">
                  <w:rPr>
                    <w:rStyle w:val="Hyperlink"/>
                    <w:b/>
                    <w:noProof/>
                  </w:rPr>
                  <w:t>INDICATOR REF: SW4b - Percentage of adults supported at home who agree that their services and support had an impact in improving or maintaining their quality of life</w:t>
                </w:r>
                <w:r w:rsidR="006009A3">
                  <w:rPr>
                    <w:noProof/>
                    <w:webHidden/>
                  </w:rPr>
                  <w:tab/>
                </w:r>
                <w:r w:rsidR="006009A3">
                  <w:rPr>
                    <w:noProof/>
                    <w:webHidden/>
                  </w:rPr>
                  <w:fldChar w:fldCharType="begin"/>
                </w:r>
                <w:r w:rsidR="006009A3">
                  <w:rPr>
                    <w:noProof/>
                    <w:webHidden/>
                  </w:rPr>
                  <w:instrText xml:space="preserve"> PAGEREF _Toc56757709 \h </w:instrText>
                </w:r>
                <w:r w:rsidR="006009A3">
                  <w:rPr>
                    <w:noProof/>
                    <w:webHidden/>
                  </w:rPr>
                </w:r>
                <w:r w:rsidR="006009A3">
                  <w:rPr>
                    <w:noProof/>
                    <w:webHidden/>
                  </w:rPr>
                  <w:fldChar w:fldCharType="separate"/>
                </w:r>
                <w:r w:rsidR="006009A3">
                  <w:rPr>
                    <w:noProof/>
                    <w:webHidden/>
                  </w:rPr>
                  <w:t>34</w:t>
                </w:r>
                <w:r w:rsidR="006009A3">
                  <w:rPr>
                    <w:noProof/>
                    <w:webHidden/>
                  </w:rPr>
                  <w:fldChar w:fldCharType="end"/>
                </w:r>
              </w:hyperlink>
            </w:p>
            <w:p w14:paraId="436C5201" w14:textId="77777777" w:rsidR="006009A3" w:rsidRDefault="005C64FC">
              <w:pPr>
                <w:pStyle w:val="TOC2"/>
                <w:tabs>
                  <w:tab w:val="right" w:leader="dot" w:pos="13948"/>
                </w:tabs>
                <w:rPr>
                  <w:rFonts w:cstheme="minorBidi"/>
                  <w:noProof/>
                  <w:lang w:val="en-GB" w:eastAsia="en-GB"/>
                </w:rPr>
              </w:pPr>
              <w:hyperlink w:anchor="_Toc56757710" w:history="1">
                <w:r w:rsidR="006009A3" w:rsidRPr="00453354">
                  <w:rPr>
                    <w:rStyle w:val="Hyperlink"/>
                    <w:b/>
                    <w:noProof/>
                  </w:rPr>
                  <w:t>COMMUNITY AND CULTURE</w:t>
                </w:r>
                <w:r w:rsidR="006009A3">
                  <w:rPr>
                    <w:noProof/>
                    <w:webHidden/>
                  </w:rPr>
                  <w:tab/>
                </w:r>
                <w:r w:rsidR="006009A3">
                  <w:rPr>
                    <w:noProof/>
                    <w:webHidden/>
                  </w:rPr>
                  <w:fldChar w:fldCharType="begin"/>
                </w:r>
                <w:r w:rsidR="006009A3">
                  <w:rPr>
                    <w:noProof/>
                    <w:webHidden/>
                  </w:rPr>
                  <w:instrText xml:space="preserve"> PAGEREF _Toc56757710 \h </w:instrText>
                </w:r>
                <w:r w:rsidR="006009A3">
                  <w:rPr>
                    <w:noProof/>
                    <w:webHidden/>
                  </w:rPr>
                </w:r>
                <w:r w:rsidR="006009A3">
                  <w:rPr>
                    <w:noProof/>
                    <w:webHidden/>
                  </w:rPr>
                  <w:fldChar w:fldCharType="separate"/>
                </w:r>
                <w:r w:rsidR="006009A3">
                  <w:rPr>
                    <w:noProof/>
                    <w:webHidden/>
                  </w:rPr>
                  <w:t>35</w:t>
                </w:r>
                <w:r w:rsidR="006009A3">
                  <w:rPr>
                    <w:noProof/>
                    <w:webHidden/>
                  </w:rPr>
                  <w:fldChar w:fldCharType="end"/>
                </w:r>
              </w:hyperlink>
            </w:p>
            <w:p w14:paraId="2D92BEAA" w14:textId="77777777" w:rsidR="006009A3" w:rsidRDefault="005C64FC">
              <w:pPr>
                <w:pStyle w:val="TOC1"/>
                <w:tabs>
                  <w:tab w:val="right" w:leader="dot" w:pos="13948"/>
                </w:tabs>
                <w:rPr>
                  <w:rFonts w:cstheme="minorBidi"/>
                  <w:noProof/>
                  <w:lang w:val="en-GB" w:eastAsia="en-GB"/>
                </w:rPr>
              </w:pPr>
              <w:hyperlink w:anchor="_Toc56757711" w:history="1">
                <w:r w:rsidR="006009A3" w:rsidRPr="00453354">
                  <w:rPr>
                    <w:rStyle w:val="Hyperlink"/>
                    <w:b/>
                    <w:noProof/>
                  </w:rPr>
                  <w:t>INDICATOR REF: C&amp;L5a - Percentage of adults satisfied with libraries</w:t>
                </w:r>
                <w:r w:rsidR="006009A3">
                  <w:rPr>
                    <w:noProof/>
                    <w:webHidden/>
                  </w:rPr>
                  <w:tab/>
                </w:r>
                <w:r w:rsidR="006009A3">
                  <w:rPr>
                    <w:noProof/>
                    <w:webHidden/>
                  </w:rPr>
                  <w:fldChar w:fldCharType="begin"/>
                </w:r>
                <w:r w:rsidR="006009A3">
                  <w:rPr>
                    <w:noProof/>
                    <w:webHidden/>
                  </w:rPr>
                  <w:instrText xml:space="preserve"> PAGEREF _Toc56757711 \h </w:instrText>
                </w:r>
                <w:r w:rsidR="006009A3">
                  <w:rPr>
                    <w:noProof/>
                    <w:webHidden/>
                  </w:rPr>
                </w:r>
                <w:r w:rsidR="006009A3">
                  <w:rPr>
                    <w:noProof/>
                    <w:webHidden/>
                  </w:rPr>
                  <w:fldChar w:fldCharType="separate"/>
                </w:r>
                <w:r w:rsidR="006009A3">
                  <w:rPr>
                    <w:noProof/>
                    <w:webHidden/>
                  </w:rPr>
                  <w:t>35</w:t>
                </w:r>
                <w:r w:rsidR="006009A3">
                  <w:rPr>
                    <w:noProof/>
                    <w:webHidden/>
                  </w:rPr>
                  <w:fldChar w:fldCharType="end"/>
                </w:r>
              </w:hyperlink>
            </w:p>
            <w:p w14:paraId="71A9527A" w14:textId="77777777" w:rsidR="006009A3" w:rsidRDefault="005C64FC">
              <w:pPr>
                <w:pStyle w:val="TOC1"/>
                <w:tabs>
                  <w:tab w:val="right" w:leader="dot" w:pos="13948"/>
                </w:tabs>
                <w:rPr>
                  <w:rFonts w:cstheme="minorBidi"/>
                  <w:noProof/>
                  <w:lang w:val="en-GB" w:eastAsia="en-GB"/>
                </w:rPr>
              </w:pPr>
              <w:hyperlink w:anchor="_Toc56757712" w:history="1">
                <w:r w:rsidR="006009A3" w:rsidRPr="00453354">
                  <w:rPr>
                    <w:rStyle w:val="Hyperlink"/>
                    <w:b/>
                    <w:noProof/>
                  </w:rPr>
                  <w:t>INDICATOR REF: C&amp;L5c - Percentage of adults satisfied with museums and galleries</w:t>
                </w:r>
                <w:r w:rsidR="006009A3">
                  <w:rPr>
                    <w:noProof/>
                    <w:webHidden/>
                  </w:rPr>
                  <w:tab/>
                </w:r>
                <w:r w:rsidR="006009A3">
                  <w:rPr>
                    <w:noProof/>
                    <w:webHidden/>
                  </w:rPr>
                  <w:fldChar w:fldCharType="begin"/>
                </w:r>
                <w:r w:rsidR="006009A3">
                  <w:rPr>
                    <w:noProof/>
                    <w:webHidden/>
                  </w:rPr>
                  <w:instrText xml:space="preserve"> PAGEREF _Toc56757712 \h </w:instrText>
                </w:r>
                <w:r w:rsidR="006009A3">
                  <w:rPr>
                    <w:noProof/>
                    <w:webHidden/>
                  </w:rPr>
                </w:r>
                <w:r w:rsidR="006009A3">
                  <w:rPr>
                    <w:noProof/>
                    <w:webHidden/>
                  </w:rPr>
                  <w:fldChar w:fldCharType="separate"/>
                </w:r>
                <w:r w:rsidR="006009A3">
                  <w:rPr>
                    <w:noProof/>
                    <w:webHidden/>
                  </w:rPr>
                  <w:t>37</w:t>
                </w:r>
                <w:r w:rsidR="006009A3">
                  <w:rPr>
                    <w:noProof/>
                    <w:webHidden/>
                  </w:rPr>
                  <w:fldChar w:fldCharType="end"/>
                </w:r>
              </w:hyperlink>
            </w:p>
            <w:p w14:paraId="07CE008B" w14:textId="77777777" w:rsidR="006009A3" w:rsidRDefault="005C64FC">
              <w:pPr>
                <w:pStyle w:val="TOC1"/>
                <w:tabs>
                  <w:tab w:val="right" w:leader="dot" w:pos="13948"/>
                </w:tabs>
                <w:rPr>
                  <w:rFonts w:cstheme="minorBidi"/>
                  <w:noProof/>
                  <w:lang w:val="en-GB" w:eastAsia="en-GB"/>
                </w:rPr>
              </w:pPr>
              <w:hyperlink w:anchor="_Toc56757713" w:history="1">
                <w:r w:rsidR="006009A3" w:rsidRPr="00453354">
                  <w:rPr>
                    <w:rStyle w:val="Hyperlink"/>
                    <w:b/>
                    <w:noProof/>
                  </w:rPr>
                  <w:t>INDICATOR REF: C&amp;L5d - Percentage of adults satisfied with leisure facilities</w:t>
                </w:r>
                <w:r w:rsidR="006009A3">
                  <w:rPr>
                    <w:noProof/>
                    <w:webHidden/>
                  </w:rPr>
                  <w:tab/>
                </w:r>
                <w:r w:rsidR="006009A3">
                  <w:rPr>
                    <w:noProof/>
                    <w:webHidden/>
                  </w:rPr>
                  <w:fldChar w:fldCharType="begin"/>
                </w:r>
                <w:r w:rsidR="006009A3">
                  <w:rPr>
                    <w:noProof/>
                    <w:webHidden/>
                  </w:rPr>
                  <w:instrText xml:space="preserve"> PAGEREF _Toc56757713 \h </w:instrText>
                </w:r>
                <w:r w:rsidR="006009A3">
                  <w:rPr>
                    <w:noProof/>
                    <w:webHidden/>
                  </w:rPr>
                </w:r>
                <w:r w:rsidR="006009A3">
                  <w:rPr>
                    <w:noProof/>
                    <w:webHidden/>
                  </w:rPr>
                  <w:fldChar w:fldCharType="separate"/>
                </w:r>
                <w:r w:rsidR="006009A3">
                  <w:rPr>
                    <w:noProof/>
                    <w:webHidden/>
                  </w:rPr>
                  <w:t>38</w:t>
                </w:r>
                <w:r w:rsidR="006009A3">
                  <w:rPr>
                    <w:noProof/>
                    <w:webHidden/>
                  </w:rPr>
                  <w:fldChar w:fldCharType="end"/>
                </w:r>
              </w:hyperlink>
            </w:p>
            <w:p w14:paraId="04F78F78" w14:textId="77777777" w:rsidR="006009A3" w:rsidRDefault="005C64FC">
              <w:pPr>
                <w:pStyle w:val="TOC2"/>
                <w:tabs>
                  <w:tab w:val="right" w:leader="dot" w:pos="13948"/>
                </w:tabs>
                <w:rPr>
                  <w:rFonts w:cstheme="minorBidi"/>
                  <w:noProof/>
                  <w:lang w:val="en-GB" w:eastAsia="en-GB"/>
                </w:rPr>
              </w:pPr>
              <w:hyperlink w:anchor="_Toc56757714" w:history="1">
                <w:r w:rsidR="006009A3" w:rsidRPr="00453354">
                  <w:rPr>
                    <w:rStyle w:val="Hyperlink"/>
                    <w:b/>
                    <w:noProof/>
                  </w:rPr>
                  <w:t>ROADS AND INFRASTRUCTURE</w:t>
                </w:r>
                <w:r w:rsidR="006009A3">
                  <w:rPr>
                    <w:noProof/>
                    <w:webHidden/>
                  </w:rPr>
                  <w:tab/>
                </w:r>
                <w:r w:rsidR="006009A3">
                  <w:rPr>
                    <w:noProof/>
                    <w:webHidden/>
                  </w:rPr>
                  <w:fldChar w:fldCharType="begin"/>
                </w:r>
                <w:r w:rsidR="006009A3">
                  <w:rPr>
                    <w:noProof/>
                    <w:webHidden/>
                  </w:rPr>
                  <w:instrText xml:space="preserve"> PAGEREF _Toc56757714 \h </w:instrText>
                </w:r>
                <w:r w:rsidR="006009A3">
                  <w:rPr>
                    <w:noProof/>
                    <w:webHidden/>
                  </w:rPr>
                </w:r>
                <w:r w:rsidR="006009A3">
                  <w:rPr>
                    <w:noProof/>
                    <w:webHidden/>
                  </w:rPr>
                  <w:fldChar w:fldCharType="separate"/>
                </w:r>
                <w:r w:rsidR="006009A3">
                  <w:rPr>
                    <w:noProof/>
                    <w:webHidden/>
                  </w:rPr>
                  <w:t>39</w:t>
                </w:r>
                <w:r w:rsidR="006009A3">
                  <w:rPr>
                    <w:noProof/>
                    <w:webHidden/>
                  </w:rPr>
                  <w:fldChar w:fldCharType="end"/>
                </w:r>
              </w:hyperlink>
            </w:p>
            <w:p w14:paraId="2847A033" w14:textId="77777777" w:rsidR="006009A3" w:rsidRDefault="005C64FC">
              <w:pPr>
                <w:pStyle w:val="TOC1"/>
                <w:tabs>
                  <w:tab w:val="right" w:leader="dot" w:pos="13948"/>
                </w:tabs>
                <w:rPr>
                  <w:rFonts w:cstheme="minorBidi"/>
                  <w:noProof/>
                  <w:lang w:val="en-GB" w:eastAsia="en-GB"/>
                </w:rPr>
              </w:pPr>
              <w:hyperlink w:anchor="_Toc56757715" w:history="1">
                <w:r w:rsidR="006009A3" w:rsidRPr="00453354">
                  <w:rPr>
                    <w:rStyle w:val="Hyperlink"/>
                    <w:b/>
                    <w:noProof/>
                  </w:rPr>
                  <w:t>INDICATOR REF: C&amp;L5b - Percentage of adults satisfied with parks and open spaces</w:t>
                </w:r>
                <w:r w:rsidR="006009A3">
                  <w:rPr>
                    <w:noProof/>
                    <w:webHidden/>
                  </w:rPr>
                  <w:tab/>
                </w:r>
                <w:r w:rsidR="006009A3">
                  <w:rPr>
                    <w:noProof/>
                    <w:webHidden/>
                  </w:rPr>
                  <w:fldChar w:fldCharType="begin"/>
                </w:r>
                <w:r w:rsidR="006009A3">
                  <w:rPr>
                    <w:noProof/>
                    <w:webHidden/>
                  </w:rPr>
                  <w:instrText xml:space="preserve"> PAGEREF _Toc56757715 \h </w:instrText>
                </w:r>
                <w:r w:rsidR="006009A3">
                  <w:rPr>
                    <w:noProof/>
                    <w:webHidden/>
                  </w:rPr>
                </w:r>
                <w:r w:rsidR="006009A3">
                  <w:rPr>
                    <w:noProof/>
                    <w:webHidden/>
                  </w:rPr>
                  <w:fldChar w:fldCharType="separate"/>
                </w:r>
                <w:r w:rsidR="006009A3">
                  <w:rPr>
                    <w:noProof/>
                    <w:webHidden/>
                  </w:rPr>
                  <w:t>39</w:t>
                </w:r>
                <w:r w:rsidR="006009A3">
                  <w:rPr>
                    <w:noProof/>
                    <w:webHidden/>
                  </w:rPr>
                  <w:fldChar w:fldCharType="end"/>
                </w:r>
              </w:hyperlink>
            </w:p>
            <w:p w14:paraId="5ED98171" w14:textId="77777777" w:rsidR="006009A3" w:rsidRDefault="005C64FC">
              <w:pPr>
                <w:pStyle w:val="TOC1"/>
                <w:tabs>
                  <w:tab w:val="right" w:leader="dot" w:pos="13948"/>
                </w:tabs>
                <w:rPr>
                  <w:rFonts w:cstheme="minorBidi"/>
                  <w:noProof/>
                  <w:lang w:val="en-GB" w:eastAsia="en-GB"/>
                </w:rPr>
              </w:pPr>
              <w:hyperlink w:anchor="_Toc56757716" w:history="1">
                <w:r w:rsidR="006009A3" w:rsidRPr="00453354">
                  <w:rPr>
                    <w:rStyle w:val="Hyperlink"/>
                    <w:b/>
                    <w:noProof/>
                  </w:rPr>
                  <w:t>INDICATOR REF: ENV1a - Net cost per waste collection per premises</w:t>
                </w:r>
                <w:r w:rsidR="006009A3">
                  <w:rPr>
                    <w:noProof/>
                    <w:webHidden/>
                  </w:rPr>
                  <w:tab/>
                </w:r>
                <w:r w:rsidR="006009A3">
                  <w:rPr>
                    <w:noProof/>
                    <w:webHidden/>
                  </w:rPr>
                  <w:fldChar w:fldCharType="begin"/>
                </w:r>
                <w:r w:rsidR="006009A3">
                  <w:rPr>
                    <w:noProof/>
                    <w:webHidden/>
                  </w:rPr>
                  <w:instrText xml:space="preserve"> PAGEREF _Toc56757716 \h </w:instrText>
                </w:r>
                <w:r w:rsidR="006009A3">
                  <w:rPr>
                    <w:noProof/>
                    <w:webHidden/>
                  </w:rPr>
                </w:r>
                <w:r w:rsidR="006009A3">
                  <w:rPr>
                    <w:noProof/>
                    <w:webHidden/>
                  </w:rPr>
                  <w:fldChar w:fldCharType="separate"/>
                </w:r>
                <w:r w:rsidR="006009A3">
                  <w:rPr>
                    <w:noProof/>
                    <w:webHidden/>
                  </w:rPr>
                  <w:t>41</w:t>
                </w:r>
                <w:r w:rsidR="006009A3">
                  <w:rPr>
                    <w:noProof/>
                    <w:webHidden/>
                  </w:rPr>
                  <w:fldChar w:fldCharType="end"/>
                </w:r>
              </w:hyperlink>
            </w:p>
            <w:p w14:paraId="5947BFBD" w14:textId="77777777" w:rsidR="006009A3" w:rsidRDefault="005C64FC">
              <w:pPr>
                <w:pStyle w:val="TOC1"/>
                <w:tabs>
                  <w:tab w:val="right" w:leader="dot" w:pos="13948"/>
                </w:tabs>
                <w:rPr>
                  <w:rFonts w:cstheme="minorBidi"/>
                  <w:noProof/>
                  <w:lang w:val="en-GB" w:eastAsia="en-GB"/>
                </w:rPr>
              </w:pPr>
              <w:hyperlink w:anchor="_Toc56757717" w:history="1">
                <w:r w:rsidR="006009A3" w:rsidRPr="00453354">
                  <w:rPr>
                    <w:rStyle w:val="Hyperlink"/>
                    <w:b/>
                    <w:noProof/>
                  </w:rPr>
                  <w:t>INDICATOR REF: ENV2a - Net cost of waste disposal per premises</w:t>
                </w:r>
                <w:r w:rsidR="006009A3">
                  <w:rPr>
                    <w:noProof/>
                    <w:webHidden/>
                  </w:rPr>
                  <w:tab/>
                </w:r>
                <w:r w:rsidR="006009A3">
                  <w:rPr>
                    <w:noProof/>
                    <w:webHidden/>
                  </w:rPr>
                  <w:fldChar w:fldCharType="begin"/>
                </w:r>
                <w:r w:rsidR="006009A3">
                  <w:rPr>
                    <w:noProof/>
                    <w:webHidden/>
                  </w:rPr>
                  <w:instrText xml:space="preserve"> PAGEREF _Toc56757717 \h </w:instrText>
                </w:r>
                <w:r w:rsidR="006009A3">
                  <w:rPr>
                    <w:noProof/>
                    <w:webHidden/>
                  </w:rPr>
                </w:r>
                <w:r w:rsidR="006009A3">
                  <w:rPr>
                    <w:noProof/>
                    <w:webHidden/>
                  </w:rPr>
                  <w:fldChar w:fldCharType="separate"/>
                </w:r>
                <w:r w:rsidR="006009A3">
                  <w:rPr>
                    <w:noProof/>
                    <w:webHidden/>
                  </w:rPr>
                  <w:t>42</w:t>
                </w:r>
                <w:r w:rsidR="006009A3">
                  <w:rPr>
                    <w:noProof/>
                    <w:webHidden/>
                  </w:rPr>
                  <w:fldChar w:fldCharType="end"/>
                </w:r>
              </w:hyperlink>
            </w:p>
            <w:p w14:paraId="3093A0E2" w14:textId="77777777" w:rsidR="006009A3" w:rsidRDefault="005C64FC">
              <w:pPr>
                <w:pStyle w:val="TOC1"/>
                <w:tabs>
                  <w:tab w:val="right" w:leader="dot" w:pos="13948"/>
                </w:tabs>
                <w:rPr>
                  <w:rFonts w:cstheme="minorBidi"/>
                  <w:noProof/>
                  <w:lang w:val="en-GB" w:eastAsia="en-GB"/>
                </w:rPr>
              </w:pPr>
              <w:hyperlink w:anchor="_Toc56757718" w:history="1">
                <w:r w:rsidR="006009A3" w:rsidRPr="00453354">
                  <w:rPr>
                    <w:rStyle w:val="Hyperlink"/>
                    <w:b/>
                    <w:noProof/>
                  </w:rPr>
                  <w:t>INDICATOR REF: ENV3c - Cleanliness Score (Percentage Acceptable)</w:t>
                </w:r>
                <w:r w:rsidR="006009A3">
                  <w:rPr>
                    <w:noProof/>
                    <w:webHidden/>
                  </w:rPr>
                  <w:tab/>
                </w:r>
                <w:r w:rsidR="006009A3">
                  <w:rPr>
                    <w:noProof/>
                    <w:webHidden/>
                  </w:rPr>
                  <w:fldChar w:fldCharType="begin"/>
                </w:r>
                <w:r w:rsidR="006009A3">
                  <w:rPr>
                    <w:noProof/>
                    <w:webHidden/>
                  </w:rPr>
                  <w:instrText xml:space="preserve"> PAGEREF _Toc56757718 \h </w:instrText>
                </w:r>
                <w:r w:rsidR="006009A3">
                  <w:rPr>
                    <w:noProof/>
                    <w:webHidden/>
                  </w:rPr>
                </w:r>
                <w:r w:rsidR="006009A3">
                  <w:rPr>
                    <w:noProof/>
                    <w:webHidden/>
                  </w:rPr>
                  <w:fldChar w:fldCharType="separate"/>
                </w:r>
                <w:r w:rsidR="006009A3">
                  <w:rPr>
                    <w:noProof/>
                    <w:webHidden/>
                  </w:rPr>
                  <w:t>43</w:t>
                </w:r>
                <w:r w:rsidR="006009A3">
                  <w:rPr>
                    <w:noProof/>
                    <w:webHidden/>
                  </w:rPr>
                  <w:fldChar w:fldCharType="end"/>
                </w:r>
              </w:hyperlink>
            </w:p>
            <w:p w14:paraId="2A8FD52B" w14:textId="77777777" w:rsidR="006009A3" w:rsidRDefault="005C64FC">
              <w:pPr>
                <w:pStyle w:val="TOC1"/>
                <w:tabs>
                  <w:tab w:val="right" w:leader="dot" w:pos="13948"/>
                </w:tabs>
                <w:rPr>
                  <w:rFonts w:cstheme="minorBidi"/>
                  <w:noProof/>
                  <w:lang w:val="en-GB" w:eastAsia="en-GB"/>
                </w:rPr>
              </w:pPr>
              <w:hyperlink w:anchor="_Toc56757719" w:history="1">
                <w:r w:rsidR="006009A3" w:rsidRPr="00453354">
                  <w:rPr>
                    <w:rStyle w:val="Hyperlink"/>
                    <w:b/>
                    <w:noProof/>
                  </w:rPr>
                  <w:t>INDICATOR REF: ENV4a - Cost of maintenance per kilometre of roads</w:t>
                </w:r>
                <w:r w:rsidR="006009A3">
                  <w:rPr>
                    <w:noProof/>
                    <w:webHidden/>
                  </w:rPr>
                  <w:tab/>
                </w:r>
                <w:r w:rsidR="006009A3">
                  <w:rPr>
                    <w:noProof/>
                    <w:webHidden/>
                  </w:rPr>
                  <w:fldChar w:fldCharType="begin"/>
                </w:r>
                <w:r w:rsidR="006009A3">
                  <w:rPr>
                    <w:noProof/>
                    <w:webHidden/>
                  </w:rPr>
                  <w:instrText xml:space="preserve"> PAGEREF _Toc56757719 \h </w:instrText>
                </w:r>
                <w:r w:rsidR="006009A3">
                  <w:rPr>
                    <w:noProof/>
                    <w:webHidden/>
                  </w:rPr>
                </w:r>
                <w:r w:rsidR="006009A3">
                  <w:rPr>
                    <w:noProof/>
                    <w:webHidden/>
                  </w:rPr>
                  <w:fldChar w:fldCharType="separate"/>
                </w:r>
                <w:r w:rsidR="006009A3">
                  <w:rPr>
                    <w:noProof/>
                    <w:webHidden/>
                  </w:rPr>
                  <w:t>45</w:t>
                </w:r>
                <w:r w:rsidR="006009A3">
                  <w:rPr>
                    <w:noProof/>
                    <w:webHidden/>
                  </w:rPr>
                  <w:fldChar w:fldCharType="end"/>
                </w:r>
              </w:hyperlink>
            </w:p>
            <w:p w14:paraId="6AF1AF01" w14:textId="77777777" w:rsidR="006009A3" w:rsidRDefault="005C64FC">
              <w:pPr>
                <w:pStyle w:val="TOC1"/>
                <w:tabs>
                  <w:tab w:val="right" w:leader="dot" w:pos="13948"/>
                </w:tabs>
                <w:rPr>
                  <w:rFonts w:cstheme="minorBidi"/>
                  <w:noProof/>
                  <w:lang w:val="en-GB" w:eastAsia="en-GB"/>
                </w:rPr>
              </w:pPr>
              <w:hyperlink w:anchor="_Toc56757720" w:history="1">
                <w:r w:rsidR="006009A3" w:rsidRPr="00453354">
                  <w:rPr>
                    <w:rStyle w:val="Hyperlink"/>
                    <w:b/>
                    <w:noProof/>
                  </w:rPr>
                  <w:t>INDICATOR REF: ENV4b, c - Percentage of roads that should be considered for maintenance treatment by road class</w:t>
                </w:r>
                <w:r w:rsidR="006009A3">
                  <w:rPr>
                    <w:noProof/>
                    <w:webHidden/>
                  </w:rPr>
                  <w:tab/>
                </w:r>
                <w:r w:rsidR="006009A3">
                  <w:rPr>
                    <w:noProof/>
                    <w:webHidden/>
                  </w:rPr>
                  <w:fldChar w:fldCharType="begin"/>
                </w:r>
                <w:r w:rsidR="006009A3">
                  <w:rPr>
                    <w:noProof/>
                    <w:webHidden/>
                  </w:rPr>
                  <w:instrText xml:space="preserve"> PAGEREF _Toc56757720 \h </w:instrText>
                </w:r>
                <w:r w:rsidR="006009A3">
                  <w:rPr>
                    <w:noProof/>
                    <w:webHidden/>
                  </w:rPr>
                </w:r>
                <w:r w:rsidR="006009A3">
                  <w:rPr>
                    <w:noProof/>
                    <w:webHidden/>
                  </w:rPr>
                  <w:fldChar w:fldCharType="separate"/>
                </w:r>
                <w:r w:rsidR="006009A3">
                  <w:rPr>
                    <w:noProof/>
                    <w:webHidden/>
                  </w:rPr>
                  <w:t>47</w:t>
                </w:r>
                <w:r w:rsidR="006009A3">
                  <w:rPr>
                    <w:noProof/>
                    <w:webHidden/>
                  </w:rPr>
                  <w:fldChar w:fldCharType="end"/>
                </w:r>
              </w:hyperlink>
            </w:p>
            <w:p w14:paraId="54D3B824" w14:textId="77777777" w:rsidR="006009A3" w:rsidRDefault="005C64FC">
              <w:pPr>
                <w:pStyle w:val="TOC1"/>
                <w:tabs>
                  <w:tab w:val="right" w:leader="dot" w:pos="13948"/>
                </w:tabs>
                <w:rPr>
                  <w:rFonts w:cstheme="minorBidi"/>
                  <w:noProof/>
                  <w:lang w:val="en-GB" w:eastAsia="en-GB"/>
                </w:rPr>
              </w:pPr>
              <w:hyperlink w:anchor="_Toc56757721" w:history="1">
                <w:r w:rsidR="006009A3" w:rsidRPr="00453354">
                  <w:rPr>
                    <w:rStyle w:val="Hyperlink"/>
                    <w:b/>
                    <w:noProof/>
                  </w:rPr>
                  <w:t>INDICATOR REF: ENV6 - The percentage of total household waste arising that is recycled</w:t>
                </w:r>
                <w:r w:rsidR="006009A3">
                  <w:rPr>
                    <w:noProof/>
                    <w:webHidden/>
                  </w:rPr>
                  <w:tab/>
                </w:r>
                <w:r w:rsidR="006009A3">
                  <w:rPr>
                    <w:noProof/>
                    <w:webHidden/>
                  </w:rPr>
                  <w:fldChar w:fldCharType="begin"/>
                </w:r>
                <w:r w:rsidR="006009A3">
                  <w:rPr>
                    <w:noProof/>
                    <w:webHidden/>
                  </w:rPr>
                  <w:instrText xml:space="preserve"> PAGEREF _Toc56757721 \h </w:instrText>
                </w:r>
                <w:r w:rsidR="006009A3">
                  <w:rPr>
                    <w:noProof/>
                    <w:webHidden/>
                  </w:rPr>
                </w:r>
                <w:r w:rsidR="006009A3">
                  <w:rPr>
                    <w:noProof/>
                    <w:webHidden/>
                  </w:rPr>
                  <w:fldChar w:fldCharType="separate"/>
                </w:r>
                <w:r w:rsidR="006009A3">
                  <w:rPr>
                    <w:noProof/>
                    <w:webHidden/>
                  </w:rPr>
                  <w:t>49</w:t>
                </w:r>
                <w:r w:rsidR="006009A3">
                  <w:rPr>
                    <w:noProof/>
                    <w:webHidden/>
                  </w:rPr>
                  <w:fldChar w:fldCharType="end"/>
                </w:r>
              </w:hyperlink>
            </w:p>
            <w:p w14:paraId="594C23CE" w14:textId="77777777" w:rsidR="006009A3" w:rsidRDefault="005C64FC">
              <w:pPr>
                <w:pStyle w:val="TOC1"/>
                <w:tabs>
                  <w:tab w:val="right" w:leader="dot" w:pos="13948"/>
                </w:tabs>
                <w:rPr>
                  <w:rFonts w:cstheme="minorBidi"/>
                  <w:noProof/>
                  <w:lang w:val="en-GB" w:eastAsia="en-GB"/>
                </w:rPr>
              </w:pPr>
              <w:hyperlink w:anchor="_Toc56757722" w:history="1">
                <w:r w:rsidR="006009A3" w:rsidRPr="00453354">
                  <w:rPr>
                    <w:rStyle w:val="Hyperlink"/>
                    <w:b/>
                    <w:noProof/>
                  </w:rPr>
                  <w:t>INDICATOR REF: ENV7a - Percentage of adults satisfied with refuse collection</w:t>
                </w:r>
                <w:r w:rsidR="006009A3">
                  <w:rPr>
                    <w:noProof/>
                    <w:webHidden/>
                  </w:rPr>
                  <w:tab/>
                </w:r>
                <w:r w:rsidR="006009A3">
                  <w:rPr>
                    <w:noProof/>
                    <w:webHidden/>
                  </w:rPr>
                  <w:fldChar w:fldCharType="begin"/>
                </w:r>
                <w:r w:rsidR="006009A3">
                  <w:rPr>
                    <w:noProof/>
                    <w:webHidden/>
                  </w:rPr>
                  <w:instrText xml:space="preserve"> PAGEREF _Toc56757722 \h </w:instrText>
                </w:r>
                <w:r w:rsidR="006009A3">
                  <w:rPr>
                    <w:noProof/>
                    <w:webHidden/>
                  </w:rPr>
                </w:r>
                <w:r w:rsidR="006009A3">
                  <w:rPr>
                    <w:noProof/>
                    <w:webHidden/>
                  </w:rPr>
                  <w:fldChar w:fldCharType="separate"/>
                </w:r>
                <w:r w:rsidR="006009A3">
                  <w:rPr>
                    <w:noProof/>
                    <w:webHidden/>
                  </w:rPr>
                  <w:t>50</w:t>
                </w:r>
                <w:r w:rsidR="006009A3">
                  <w:rPr>
                    <w:noProof/>
                    <w:webHidden/>
                  </w:rPr>
                  <w:fldChar w:fldCharType="end"/>
                </w:r>
              </w:hyperlink>
            </w:p>
            <w:p w14:paraId="590670CC" w14:textId="77777777" w:rsidR="006009A3" w:rsidRDefault="005C64FC">
              <w:pPr>
                <w:pStyle w:val="TOC1"/>
                <w:tabs>
                  <w:tab w:val="right" w:leader="dot" w:pos="13948"/>
                </w:tabs>
                <w:rPr>
                  <w:rFonts w:cstheme="minorBidi"/>
                  <w:noProof/>
                  <w:lang w:val="en-GB" w:eastAsia="en-GB"/>
                </w:rPr>
              </w:pPr>
              <w:hyperlink w:anchor="_Toc56757723" w:history="1">
                <w:r w:rsidR="006009A3" w:rsidRPr="00453354">
                  <w:rPr>
                    <w:rStyle w:val="Hyperlink"/>
                    <w:b/>
                    <w:noProof/>
                  </w:rPr>
                  <w:t>INDICATOR REF: ENV7b - Percentage of adults satisfied with street cleaning</w:t>
                </w:r>
                <w:r w:rsidR="006009A3">
                  <w:rPr>
                    <w:noProof/>
                    <w:webHidden/>
                  </w:rPr>
                  <w:tab/>
                </w:r>
                <w:r w:rsidR="006009A3">
                  <w:rPr>
                    <w:noProof/>
                    <w:webHidden/>
                  </w:rPr>
                  <w:fldChar w:fldCharType="begin"/>
                </w:r>
                <w:r w:rsidR="006009A3">
                  <w:rPr>
                    <w:noProof/>
                    <w:webHidden/>
                  </w:rPr>
                  <w:instrText xml:space="preserve"> PAGEREF _Toc56757723 \h </w:instrText>
                </w:r>
                <w:r w:rsidR="006009A3">
                  <w:rPr>
                    <w:noProof/>
                    <w:webHidden/>
                  </w:rPr>
                </w:r>
                <w:r w:rsidR="006009A3">
                  <w:rPr>
                    <w:noProof/>
                    <w:webHidden/>
                  </w:rPr>
                  <w:fldChar w:fldCharType="separate"/>
                </w:r>
                <w:r w:rsidR="006009A3">
                  <w:rPr>
                    <w:noProof/>
                    <w:webHidden/>
                  </w:rPr>
                  <w:t>51</w:t>
                </w:r>
                <w:r w:rsidR="006009A3">
                  <w:rPr>
                    <w:noProof/>
                    <w:webHidden/>
                  </w:rPr>
                  <w:fldChar w:fldCharType="end"/>
                </w:r>
              </w:hyperlink>
            </w:p>
            <w:p w14:paraId="67222F94" w14:textId="77777777" w:rsidR="006009A3" w:rsidRDefault="005C64FC">
              <w:pPr>
                <w:pStyle w:val="TOC2"/>
                <w:tabs>
                  <w:tab w:val="right" w:leader="dot" w:pos="13948"/>
                </w:tabs>
                <w:rPr>
                  <w:rFonts w:cstheme="minorBidi"/>
                  <w:noProof/>
                  <w:lang w:val="en-GB" w:eastAsia="en-GB"/>
                </w:rPr>
              </w:pPr>
              <w:hyperlink w:anchor="_Toc56757724" w:history="1">
                <w:r w:rsidR="006009A3" w:rsidRPr="00453354">
                  <w:rPr>
                    <w:rStyle w:val="Hyperlink"/>
                    <w:b/>
                    <w:noProof/>
                  </w:rPr>
                  <w:t>DEVELOPMENT AND ECONOMIC GROWTH</w:t>
                </w:r>
                <w:r w:rsidR="006009A3">
                  <w:rPr>
                    <w:noProof/>
                    <w:webHidden/>
                  </w:rPr>
                  <w:tab/>
                </w:r>
                <w:r w:rsidR="006009A3">
                  <w:rPr>
                    <w:noProof/>
                    <w:webHidden/>
                  </w:rPr>
                  <w:fldChar w:fldCharType="begin"/>
                </w:r>
                <w:r w:rsidR="006009A3">
                  <w:rPr>
                    <w:noProof/>
                    <w:webHidden/>
                  </w:rPr>
                  <w:instrText xml:space="preserve"> PAGEREF _Toc56757724 \h </w:instrText>
                </w:r>
                <w:r w:rsidR="006009A3">
                  <w:rPr>
                    <w:noProof/>
                    <w:webHidden/>
                  </w:rPr>
                </w:r>
                <w:r w:rsidR="006009A3">
                  <w:rPr>
                    <w:noProof/>
                    <w:webHidden/>
                  </w:rPr>
                  <w:fldChar w:fldCharType="separate"/>
                </w:r>
                <w:r w:rsidR="006009A3">
                  <w:rPr>
                    <w:noProof/>
                    <w:webHidden/>
                  </w:rPr>
                  <w:t>52</w:t>
                </w:r>
                <w:r w:rsidR="006009A3">
                  <w:rPr>
                    <w:noProof/>
                    <w:webHidden/>
                  </w:rPr>
                  <w:fldChar w:fldCharType="end"/>
                </w:r>
              </w:hyperlink>
            </w:p>
            <w:p w14:paraId="25882911" w14:textId="77777777" w:rsidR="006009A3" w:rsidRDefault="005C64FC">
              <w:pPr>
                <w:pStyle w:val="TOC1"/>
                <w:tabs>
                  <w:tab w:val="right" w:leader="dot" w:pos="13948"/>
                </w:tabs>
                <w:rPr>
                  <w:rFonts w:cstheme="minorBidi"/>
                  <w:noProof/>
                  <w:lang w:val="en-GB" w:eastAsia="en-GB"/>
                </w:rPr>
              </w:pPr>
              <w:hyperlink w:anchor="_Toc56757725" w:history="1">
                <w:r w:rsidR="006009A3" w:rsidRPr="00453354">
                  <w:rPr>
                    <w:rStyle w:val="Hyperlink"/>
                    <w:b/>
                    <w:noProof/>
                  </w:rPr>
                  <w:t>INDICATOR REF: ECON5 - No of business gateway start-ups per 10,000 population</w:t>
                </w:r>
                <w:r w:rsidR="006009A3">
                  <w:rPr>
                    <w:noProof/>
                    <w:webHidden/>
                  </w:rPr>
                  <w:tab/>
                </w:r>
                <w:r w:rsidR="006009A3">
                  <w:rPr>
                    <w:noProof/>
                    <w:webHidden/>
                  </w:rPr>
                  <w:fldChar w:fldCharType="begin"/>
                </w:r>
                <w:r w:rsidR="006009A3">
                  <w:rPr>
                    <w:noProof/>
                    <w:webHidden/>
                  </w:rPr>
                  <w:instrText xml:space="preserve"> PAGEREF _Toc56757725 \h </w:instrText>
                </w:r>
                <w:r w:rsidR="006009A3">
                  <w:rPr>
                    <w:noProof/>
                    <w:webHidden/>
                  </w:rPr>
                </w:r>
                <w:r w:rsidR="006009A3">
                  <w:rPr>
                    <w:noProof/>
                    <w:webHidden/>
                  </w:rPr>
                  <w:fldChar w:fldCharType="separate"/>
                </w:r>
                <w:r w:rsidR="006009A3">
                  <w:rPr>
                    <w:noProof/>
                    <w:webHidden/>
                  </w:rPr>
                  <w:t>52</w:t>
                </w:r>
                <w:r w:rsidR="006009A3">
                  <w:rPr>
                    <w:noProof/>
                    <w:webHidden/>
                  </w:rPr>
                  <w:fldChar w:fldCharType="end"/>
                </w:r>
              </w:hyperlink>
            </w:p>
            <w:p w14:paraId="739C4505" w14:textId="77777777" w:rsidR="006009A3" w:rsidRDefault="005C64FC">
              <w:pPr>
                <w:pStyle w:val="TOC1"/>
                <w:tabs>
                  <w:tab w:val="right" w:leader="dot" w:pos="13948"/>
                </w:tabs>
                <w:rPr>
                  <w:rFonts w:cstheme="minorBidi"/>
                  <w:noProof/>
                  <w:lang w:val="en-GB" w:eastAsia="en-GB"/>
                </w:rPr>
              </w:pPr>
              <w:hyperlink w:anchor="_Toc56757726" w:history="1">
                <w:r w:rsidR="006009A3" w:rsidRPr="00453354">
                  <w:rPr>
                    <w:rStyle w:val="Hyperlink"/>
                    <w:b/>
                    <w:noProof/>
                  </w:rPr>
                  <w:t>INDICATOR REF: ECON7 - Proportion of people earning less than the living wage</w:t>
                </w:r>
                <w:r w:rsidR="006009A3">
                  <w:rPr>
                    <w:noProof/>
                    <w:webHidden/>
                  </w:rPr>
                  <w:tab/>
                </w:r>
                <w:r w:rsidR="006009A3">
                  <w:rPr>
                    <w:noProof/>
                    <w:webHidden/>
                  </w:rPr>
                  <w:fldChar w:fldCharType="begin"/>
                </w:r>
                <w:r w:rsidR="006009A3">
                  <w:rPr>
                    <w:noProof/>
                    <w:webHidden/>
                  </w:rPr>
                  <w:instrText xml:space="preserve"> PAGEREF _Toc56757726 \h </w:instrText>
                </w:r>
                <w:r w:rsidR="006009A3">
                  <w:rPr>
                    <w:noProof/>
                    <w:webHidden/>
                  </w:rPr>
                </w:r>
                <w:r w:rsidR="006009A3">
                  <w:rPr>
                    <w:noProof/>
                    <w:webHidden/>
                  </w:rPr>
                  <w:fldChar w:fldCharType="separate"/>
                </w:r>
                <w:r w:rsidR="006009A3">
                  <w:rPr>
                    <w:noProof/>
                    <w:webHidden/>
                  </w:rPr>
                  <w:t>53</w:t>
                </w:r>
                <w:r w:rsidR="006009A3">
                  <w:rPr>
                    <w:noProof/>
                    <w:webHidden/>
                  </w:rPr>
                  <w:fldChar w:fldCharType="end"/>
                </w:r>
              </w:hyperlink>
            </w:p>
            <w:p w14:paraId="4D10B478" w14:textId="77777777" w:rsidR="006009A3" w:rsidRDefault="005C64FC">
              <w:pPr>
                <w:pStyle w:val="TOC1"/>
                <w:tabs>
                  <w:tab w:val="right" w:leader="dot" w:pos="13948"/>
                </w:tabs>
                <w:rPr>
                  <w:rFonts w:cstheme="minorBidi"/>
                  <w:noProof/>
                  <w:lang w:val="en-GB" w:eastAsia="en-GB"/>
                </w:rPr>
              </w:pPr>
              <w:hyperlink w:anchor="_Toc56757727" w:history="1">
                <w:r w:rsidR="006009A3" w:rsidRPr="00453354">
                  <w:rPr>
                    <w:rStyle w:val="Hyperlink"/>
                    <w:b/>
                    <w:noProof/>
                  </w:rPr>
                  <w:t>INDICATOR REF: ECON8 - Proportion of properties receiving superfast broadband</w:t>
                </w:r>
                <w:r w:rsidR="006009A3">
                  <w:rPr>
                    <w:noProof/>
                    <w:webHidden/>
                  </w:rPr>
                  <w:tab/>
                </w:r>
                <w:r w:rsidR="006009A3">
                  <w:rPr>
                    <w:noProof/>
                    <w:webHidden/>
                  </w:rPr>
                  <w:fldChar w:fldCharType="begin"/>
                </w:r>
                <w:r w:rsidR="006009A3">
                  <w:rPr>
                    <w:noProof/>
                    <w:webHidden/>
                  </w:rPr>
                  <w:instrText xml:space="preserve"> PAGEREF _Toc56757727 \h </w:instrText>
                </w:r>
                <w:r w:rsidR="006009A3">
                  <w:rPr>
                    <w:noProof/>
                    <w:webHidden/>
                  </w:rPr>
                </w:r>
                <w:r w:rsidR="006009A3">
                  <w:rPr>
                    <w:noProof/>
                    <w:webHidden/>
                  </w:rPr>
                  <w:fldChar w:fldCharType="separate"/>
                </w:r>
                <w:r w:rsidR="006009A3">
                  <w:rPr>
                    <w:noProof/>
                    <w:webHidden/>
                  </w:rPr>
                  <w:t>54</w:t>
                </w:r>
                <w:r w:rsidR="006009A3">
                  <w:rPr>
                    <w:noProof/>
                    <w:webHidden/>
                  </w:rPr>
                  <w:fldChar w:fldCharType="end"/>
                </w:r>
              </w:hyperlink>
            </w:p>
            <w:p w14:paraId="14E84FEA" w14:textId="77777777" w:rsidR="006009A3" w:rsidRDefault="005C64FC">
              <w:pPr>
                <w:pStyle w:val="TOC1"/>
                <w:tabs>
                  <w:tab w:val="right" w:leader="dot" w:pos="13948"/>
                </w:tabs>
                <w:rPr>
                  <w:rFonts w:cstheme="minorBidi"/>
                  <w:noProof/>
                  <w:lang w:val="en-GB" w:eastAsia="en-GB"/>
                </w:rPr>
              </w:pPr>
              <w:hyperlink w:anchor="_Toc56757728" w:history="1">
                <w:r w:rsidR="006009A3" w:rsidRPr="00453354">
                  <w:rPr>
                    <w:rStyle w:val="Hyperlink"/>
                    <w:b/>
                    <w:noProof/>
                  </w:rPr>
                  <w:t>INDICATOR REF: ENV5b - Cost of environmental health per 1,000 population</w:t>
                </w:r>
                <w:r w:rsidR="006009A3">
                  <w:rPr>
                    <w:noProof/>
                    <w:webHidden/>
                  </w:rPr>
                  <w:tab/>
                </w:r>
                <w:r w:rsidR="006009A3">
                  <w:rPr>
                    <w:noProof/>
                    <w:webHidden/>
                  </w:rPr>
                  <w:fldChar w:fldCharType="begin"/>
                </w:r>
                <w:r w:rsidR="006009A3">
                  <w:rPr>
                    <w:noProof/>
                    <w:webHidden/>
                  </w:rPr>
                  <w:instrText xml:space="preserve"> PAGEREF _Toc56757728 \h </w:instrText>
                </w:r>
                <w:r w:rsidR="006009A3">
                  <w:rPr>
                    <w:noProof/>
                    <w:webHidden/>
                  </w:rPr>
                </w:r>
                <w:r w:rsidR="006009A3">
                  <w:rPr>
                    <w:noProof/>
                    <w:webHidden/>
                  </w:rPr>
                  <w:fldChar w:fldCharType="separate"/>
                </w:r>
                <w:r w:rsidR="006009A3">
                  <w:rPr>
                    <w:noProof/>
                    <w:webHidden/>
                  </w:rPr>
                  <w:t>56</w:t>
                </w:r>
                <w:r w:rsidR="006009A3">
                  <w:rPr>
                    <w:noProof/>
                    <w:webHidden/>
                  </w:rPr>
                  <w:fldChar w:fldCharType="end"/>
                </w:r>
              </w:hyperlink>
            </w:p>
            <w:p w14:paraId="2F4E8233" w14:textId="77777777" w:rsidR="006009A3" w:rsidRDefault="005C64FC">
              <w:pPr>
                <w:pStyle w:val="TOC1"/>
                <w:tabs>
                  <w:tab w:val="right" w:leader="dot" w:pos="13948"/>
                </w:tabs>
                <w:rPr>
                  <w:rFonts w:cstheme="minorBidi"/>
                  <w:noProof/>
                  <w:lang w:val="en-GB" w:eastAsia="en-GB"/>
                </w:rPr>
              </w:pPr>
              <w:hyperlink w:anchor="_Toc56757729" w:history="1">
                <w:r w:rsidR="006009A3" w:rsidRPr="00453354">
                  <w:rPr>
                    <w:rStyle w:val="Hyperlink"/>
                    <w:b/>
                    <w:noProof/>
                  </w:rPr>
                  <w:t>INDICATOR REF: ECON3 - Average time per business and industry planning application (weeks)</w:t>
                </w:r>
                <w:r w:rsidR="006009A3">
                  <w:rPr>
                    <w:noProof/>
                    <w:webHidden/>
                  </w:rPr>
                  <w:tab/>
                </w:r>
                <w:r w:rsidR="006009A3">
                  <w:rPr>
                    <w:noProof/>
                    <w:webHidden/>
                  </w:rPr>
                  <w:fldChar w:fldCharType="begin"/>
                </w:r>
                <w:r w:rsidR="006009A3">
                  <w:rPr>
                    <w:noProof/>
                    <w:webHidden/>
                  </w:rPr>
                  <w:instrText xml:space="preserve"> PAGEREF _Toc56757729 \h </w:instrText>
                </w:r>
                <w:r w:rsidR="006009A3">
                  <w:rPr>
                    <w:noProof/>
                    <w:webHidden/>
                  </w:rPr>
                </w:r>
                <w:r w:rsidR="006009A3">
                  <w:rPr>
                    <w:noProof/>
                    <w:webHidden/>
                  </w:rPr>
                  <w:fldChar w:fldCharType="separate"/>
                </w:r>
                <w:r w:rsidR="006009A3">
                  <w:rPr>
                    <w:noProof/>
                    <w:webHidden/>
                  </w:rPr>
                  <w:t>57</w:t>
                </w:r>
                <w:r w:rsidR="006009A3">
                  <w:rPr>
                    <w:noProof/>
                    <w:webHidden/>
                  </w:rPr>
                  <w:fldChar w:fldCharType="end"/>
                </w:r>
              </w:hyperlink>
            </w:p>
            <w:p w14:paraId="71E5AF39" w14:textId="77777777" w:rsidR="006009A3" w:rsidRDefault="005C64FC">
              <w:pPr>
                <w:pStyle w:val="TOC2"/>
                <w:tabs>
                  <w:tab w:val="right" w:leader="dot" w:pos="13948"/>
                </w:tabs>
                <w:rPr>
                  <w:rFonts w:cstheme="minorBidi"/>
                  <w:noProof/>
                  <w:lang w:val="en-GB" w:eastAsia="en-GB"/>
                </w:rPr>
              </w:pPr>
              <w:hyperlink w:anchor="_Toc56757730" w:history="1">
                <w:r w:rsidR="006009A3" w:rsidRPr="00453354">
                  <w:rPr>
                    <w:rStyle w:val="Hyperlink"/>
                    <w:b/>
                    <w:noProof/>
                  </w:rPr>
                  <w:t>LEGAL AND REGULATORY</w:t>
                </w:r>
                <w:r w:rsidR="006009A3">
                  <w:rPr>
                    <w:noProof/>
                    <w:webHidden/>
                  </w:rPr>
                  <w:tab/>
                </w:r>
                <w:r w:rsidR="006009A3">
                  <w:rPr>
                    <w:noProof/>
                    <w:webHidden/>
                  </w:rPr>
                  <w:fldChar w:fldCharType="begin"/>
                </w:r>
                <w:r w:rsidR="006009A3">
                  <w:rPr>
                    <w:noProof/>
                    <w:webHidden/>
                  </w:rPr>
                  <w:instrText xml:space="preserve"> PAGEREF _Toc56757730 \h </w:instrText>
                </w:r>
                <w:r w:rsidR="006009A3">
                  <w:rPr>
                    <w:noProof/>
                    <w:webHidden/>
                  </w:rPr>
                </w:r>
                <w:r w:rsidR="006009A3">
                  <w:rPr>
                    <w:noProof/>
                    <w:webHidden/>
                  </w:rPr>
                  <w:fldChar w:fldCharType="separate"/>
                </w:r>
                <w:r w:rsidR="006009A3">
                  <w:rPr>
                    <w:noProof/>
                    <w:webHidden/>
                  </w:rPr>
                  <w:t>59</w:t>
                </w:r>
                <w:r w:rsidR="006009A3">
                  <w:rPr>
                    <w:noProof/>
                    <w:webHidden/>
                  </w:rPr>
                  <w:fldChar w:fldCharType="end"/>
                </w:r>
              </w:hyperlink>
            </w:p>
            <w:p w14:paraId="13800F9A" w14:textId="77777777" w:rsidR="006009A3" w:rsidRDefault="005C64FC">
              <w:pPr>
                <w:pStyle w:val="TOC1"/>
                <w:tabs>
                  <w:tab w:val="right" w:leader="dot" w:pos="13948"/>
                </w:tabs>
                <w:rPr>
                  <w:rFonts w:cstheme="minorBidi"/>
                  <w:noProof/>
                  <w:lang w:val="en-GB" w:eastAsia="en-GB"/>
                </w:rPr>
              </w:pPr>
              <w:hyperlink w:anchor="_Toc56757731" w:history="1">
                <w:r w:rsidR="006009A3" w:rsidRPr="00453354">
                  <w:rPr>
                    <w:rStyle w:val="Hyperlink"/>
                    <w:b/>
                    <w:noProof/>
                  </w:rPr>
                  <w:t>INDICATOR REF: ENV5 - Cost of trading standards and environmental health per 1,000 population</w:t>
                </w:r>
                <w:r w:rsidR="006009A3">
                  <w:rPr>
                    <w:noProof/>
                    <w:webHidden/>
                  </w:rPr>
                  <w:tab/>
                </w:r>
                <w:r w:rsidR="006009A3">
                  <w:rPr>
                    <w:noProof/>
                    <w:webHidden/>
                  </w:rPr>
                  <w:fldChar w:fldCharType="begin"/>
                </w:r>
                <w:r w:rsidR="006009A3">
                  <w:rPr>
                    <w:noProof/>
                    <w:webHidden/>
                  </w:rPr>
                  <w:instrText xml:space="preserve"> PAGEREF _Toc56757731 \h </w:instrText>
                </w:r>
                <w:r w:rsidR="006009A3">
                  <w:rPr>
                    <w:noProof/>
                    <w:webHidden/>
                  </w:rPr>
                </w:r>
                <w:r w:rsidR="006009A3">
                  <w:rPr>
                    <w:noProof/>
                    <w:webHidden/>
                  </w:rPr>
                  <w:fldChar w:fldCharType="separate"/>
                </w:r>
                <w:r w:rsidR="006009A3">
                  <w:rPr>
                    <w:noProof/>
                    <w:webHidden/>
                  </w:rPr>
                  <w:t>59</w:t>
                </w:r>
                <w:r w:rsidR="006009A3">
                  <w:rPr>
                    <w:noProof/>
                    <w:webHidden/>
                  </w:rPr>
                  <w:fldChar w:fldCharType="end"/>
                </w:r>
              </w:hyperlink>
            </w:p>
            <w:p w14:paraId="32E33E05" w14:textId="77777777" w:rsidR="006009A3" w:rsidRDefault="005C64FC">
              <w:pPr>
                <w:pStyle w:val="TOC1"/>
                <w:tabs>
                  <w:tab w:val="right" w:leader="dot" w:pos="13948"/>
                </w:tabs>
                <w:rPr>
                  <w:rFonts w:cstheme="minorBidi"/>
                  <w:noProof/>
                  <w:lang w:val="en-GB" w:eastAsia="en-GB"/>
                </w:rPr>
              </w:pPr>
              <w:hyperlink w:anchor="_Toc56757732" w:history="1">
                <w:r w:rsidR="006009A3" w:rsidRPr="00453354">
                  <w:rPr>
                    <w:rStyle w:val="Hyperlink"/>
                    <w:b/>
                    <w:noProof/>
                  </w:rPr>
                  <w:t>INDICATOR REF: ENV5a - Cost of trading standards, money advice &amp; citizen advice per 1,000 population</w:t>
                </w:r>
                <w:r w:rsidR="006009A3">
                  <w:rPr>
                    <w:noProof/>
                    <w:webHidden/>
                  </w:rPr>
                  <w:tab/>
                </w:r>
                <w:r w:rsidR="006009A3">
                  <w:rPr>
                    <w:noProof/>
                    <w:webHidden/>
                  </w:rPr>
                  <w:fldChar w:fldCharType="begin"/>
                </w:r>
                <w:r w:rsidR="006009A3">
                  <w:rPr>
                    <w:noProof/>
                    <w:webHidden/>
                  </w:rPr>
                  <w:instrText xml:space="preserve"> PAGEREF _Toc56757732 \h </w:instrText>
                </w:r>
                <w:r w:rsidR="006009A3">
                  <w:rPr>
                    <w:noProof/>
                    <w:webHidden/>
                  </w:rPr>
                </w:r>
                <w:r w:rsidR="006009A3">
                  <w:rPr>
                    <w:noProof/>
                    <w:webHidden/>
                  </w:rPr>
                  <w:fldChar w:fldCharType="separate"/>
                </w:r>
                <w:r w:rsidR="006009A3">
                  <w:rPr>
                    <w:noProof/>
                    <w:webHidden/>
                  </w:rPr>
                  <w:t>61</w:t>
                </w:r>
                <w:r w:rsidR="006009A3">
                  <w:rPr>
                    <w:noProof/>
                    <w:webHidden/>
                  </w:rPr>
                  <w:fldChar w:fldCharType="end"/>
                </w:r>
              </w:hyperlink>
            </w:p>
            <w:p w14:paraId="37A629B8" w14:textId="77777777" w:rsidR="002C3C4A" w:rsidRDefault="002C3C4A">
              <w:r>
                <w:rPr>
                  <w:b/>
                  <w:bCs/>
                  <w:noProof/>
                </w:rPr>
                <w:fldChar w:fldCharType="end"/>
              </w:r>
            </w:p>
          </w:sdtContent>
        </w:sdt>
        <w:p w14:paraId="7C9B3EF3" w14:textId="77777777" w:rsidR="002C3C4A" w:rsidRPr="00A55FBB" w:rsidRDefault="002C3C4A">
          <w:pPr>
            <w:rPr>
              <w:b/>
              <w:sz w:val="28"/>
              <w:szCs w:val="28"/>
            </w:rPr>
          </w:pPr>
        </w:p>
        <w:p w14:paraId="6ACAEF94" w14:textId="77777777" w:rsidR="002C3C4A" w:rsidRPr="00A55FBB" w:rsidRDefault="002C3C4A">
          <w:pPr>
            <w:rPr>
              <w:b/>
              <w:sz w:val="28"/>
              <w:szCs w:val="28"/>
            </w:rPr>
          </w:pPr>
          <w:r>
            <w:rPr>
              <w:b/>
              <w:color w:val="FF0000"/>
              <w:sz w:val="28"/>
              <w:szCs w:val="28"/>
            </w:rPr>
            <w:br w:type="page"/>
          </w:r>
        </w:p>
      </w:sdtContent>
    </w:sdt>
    <w:p w14:paraId="0655F1FC" w14:textId="77777777" w:rsidR="00C14931" w:rsidRDefault="00E43FD5" w:rsidP="005947CE">
      <w:pPr>
        <w:pStyle w:val="Heading1"/>
        <w:spacing w:before="0" w:line="240" w:lineRule="auto"/>
        <w:rPr>
          <w:rFonts w:ascii="Arial" w:hAnsi="Arial" w:cs="Arial"/>
          <w:b/>
          <w:color w:val="auto"/>
        </w:rPr>
      </w:pPr>
      <w:bookmarkStart w:id="0" w:name="_Toc56757679"/>
      <w:r w:rsidRPr="00E43FD5">
        <w:rPr>
          <w:rFonts w:ascii="Arial" w:hAnsi="Arial" w:cs="Arial"/>
          <w:b/>
          <w:color w:val="auto"/>
        </w:rPr>
        <w:lastRenderedPageBreak/>
        <w:t xml:space="preserve">INTRODUCTION AND </w:t>
      </w:r>
      <w:r w:rsidR="00C14931" w:rsidRPr="00E43FD5">
        <w:rPr>
          <w:rFonts w:ascii="Arial" w:hAnsi="Arial" w:cs="Arial"/>
          <w:b/>
          <w:color w:val="auto"/>
        </w:rPr>
        <w:t>KEY</w:t>
      </w:r>
      <w:r w:rsidR="00A83E3B" w:rsidRPr="00E43FD5">
        <w:rPr>
          <w:rFonts w:ascii="Arial" w:hAnsi="Arial" w:cs="Arial"/>
          <w:b/>
          <w:color w:val="auto"/>
        </w:rPr>
        <w:t xml:space="preserve"> TO SYMBOLS</w:t>
      </w:r>
      <w:bookmarkEnd w:id="0"/>
    </w:p>
    <w:p w14:paraId="2A3115B5" w14:textId="77777777" w:rsidR="00E43FD5" w:rsidRPr="00E43FD5" w:rsidRDefault="00E43FD5" w:rsidP="005947CE">
      <w:pPr>
        <w:spacing w:after="0" w:line="240" w:lineRule="auto"/>
      </w:pPr>
    </w:p>
    <w:p w14:paraId="381A8D55" w14:textId="77777777" w:rsidR="00C14931" w:rsidRDefault="00C14931" w:rsidP="005947CE">
      <w:pPr>
        <w:spacing w:after="0" w:line="240" w:lineRule="auto"/>
        <w:rPr>
          <w:b/>
          <w:color w:val="00B050"/>
          <w:sz w:val="28"/>
          <w:szCs w:val="28"/>
        </w:rPr>
      </w:pPr>
      <w:r w:rsidRPr="00EC5E64">
        <w:rPr>
          <w:b/>
          <w:color w:val="00B050"/>
          <w:sz w:val="28"/>
          <w:szCs w:val="28"/>
        </w:rPr>
        <w:sym w:font="Wingdings" w:char="F0EA"/>
      </w:r>
      <w:r>
        <w:rPr>
          <w:b/>
          <w:color w:val="00B050"/>
          <w:sz w:val="28"/>
          <w:szCs w:val="28"/>
        </w:rPr>
        <w:t xml:space="preserve"> </w:t>
      </w:r>
      <w:r w:rsidRPr="00EC5E64">
        <w:rPr>
          <w:b/>
          <w:color w:val="00B050"/>
          <w:sz w:val="28"/>
          <w:szCs w:val="28"/>
        </w:rPr>
        <w:sym w:font="Wingdings" w:char="F0E9"/>
      </w:r>
      <w:r>
        <w:rPr>
          <w:b/>
          <w:color w:val="00B050"/>
          <w:sz w:val="28"/>
          <w:szCs w:val="28"/>
        </w:rPr>
        <w:t xml:space="preserve"> An improvement in performance – th</w:t>
      </w:r>
      <w:r w:rsidR="00D828EC">
        <w:rPr>
          <w:b/>
          <w:color w:val="00B050"/>
          <w:sz w:val="28"/>
          <w:szCs w:val="28"/>
        </w:rPr>
        <w:t>e arrow indicates the direction of travel</w:t>
      </w:r>
    </w:p>
    <w:p w14:paraId="6DACC1C7" w14:textId="77777777" w:rsidR="005947CE" w:rsidRDefault="005947CE" w:rsidP="005947CE">
      <w:pPr>
        <w:spacing w:after="0" w:line="240" w:lineRule="auto"/>
        <w:rPr>
          <w:b/>
          <w:color w:val="FF0000"/>
          <w:sz w:val="28"/>
          <w:szCs w:val="28"/>
        </w:rPr>
      </w:pPr>
    </w:p>
    <w:p w14:paraId="1792EF93" w14:textId="77777777" w:rsidR="00C14931" w:rsidRDefault="00C14931" w:rsidP="005947CE">
      <w:pPr>
        <w:spacing w:after="0" w:line="240" w:lineRule="auto"/>
        <w:rPr>
          <w:b/>
          <w:color w:val="FF0000"/>
          <w:sz w:val="28"/>
          <w:szCs w:val="28"/>
        </w:rPr>
      </w:pPr>
      <w:r w:rsidRPr="00C14931">
        <w:rPr>
          <w:b/>
          <w:color w:val="FF0000"/>
          <w:sz w:val="28"/>
          <w:szCs w:val="28"/>
        </w:rPr>
        <w:sym w:font="Wingdings" w:char="F0EA"/>
      </w:r>
      <w:r w:rsidRPr="00C14931">
        <w:rPr>
          <w:b/>
          <w:color w:val="FF0000"/>
          <w:sz w:val="28"/>
          <w:szCs w:val="28"/>
        </w:rPr>
        <w:t xml:space="preserve"> </w:t>
      </w:r>
      <w:r w:rsidRPr="00C14931">
        <w:rPr>
          <w:b/>
          <w:color w:val="FF0000"/>
          <w:sz w:val="28"/>
          <w:szCs w:val="28"/>
        </w:rPr>
        <w:sym w:font="Wingdings" w:char="F0E9"/>
      </w:r>
      <w:r>
        <w:rPr>
          <w:b/>
          <w:color w:val="FF0000"/>
          <w:sz w:val="28"/>
          <w:szCs w:val="28"/>
        </w:rPr>
        <w:t xml:space="preserve"> A reduction in performance – th</w:t>
      </w:r>
      <w:r w:rsidR="00562805">
        <w:rPr>
          <w:b/>
          <w:color w:val="FF0000"/>
          <w:sz w:val="28"/>
          <w:szCs w:val="28"/>
        </w:rPr>
        <w:t>e arrow indicates</w:t>
      </w:r>
      <w:r w:rsidR="00D828EC">
        <w:rPr>
          <w:b/>
          <w:color w:val="FF0000"/>
          <w:sz w:val="28"/>
          <w:szCs w:val="28"/>
        </w:rPr>
        <w:t xml:space="preserve"> the direction of travel</w:t>
      </w:r>
    </w:p>
    <w:p w14:paraId="7AFD8CAD" w14:textId="77777777" w:rsidR="005947CE" w:rsidRDefault="005947CE" w:rsidP="005947CE">
      <w:pPr>
        <w:spacing w:after="0" w:line="240" w:lineRule="auto"/>
        <w:rPr>
          <w:b/>
          <w:sz w:val="28"/>
          <w:szCs w:val="28"/>
        </w:rPr>
      </w:pPr>
    </w:p>
    <w:p w14:paraId="6C0AC47A" w14:textId="77777777" w:rsidR="00C14931" w:rsidRPr="00C14931" w:rsidRDefault="00C14931" w:rsidP="005947CE">
      <w:pPr>
        <w:spacing w:after="0" w:line="240" w:lineRule="auto"/>
        <w:rPr>
          <w:b/>
          <w:sz w:val="28"/>
          <w:szCs w:val="28"/>
        </w:rPr>
      </w:pPr>
      <w:r w:rsidRPr="00C14931">
        <w:rPr>
          <w:b/>
          <w:sz w:val="28"/>
          <w:szCs w:val="28"/>
        </w:rPr>
        <w:sym w:font="Wingdings" w:char="F0EA"/>
      </w:r>
      <w:r w:rsidRPr="00C14931">
        <w:rPr>
          <w:b/>
          <w:sz w:val="28"/>
          <w:szCs w:val="28"/>
        </w:rPr>
        <w:t xml:space="preserve"> </w:t>
      </w:r>
      <w:r w:rsidRPr="00C14931">
        <w:rPr>
          <w:b/>
          <w:sz w:val="28"/>
          <w:szCs w:val="28"/>
        </w:rPr>
        <w:sym w:font="Wingdings" w:char="F0E9"/>
      </w:r>
      <w:r w:rsidR="00A83E3B">
        <w:rPr>
          <w:b/>
          <w:sz w:val="28"/>
          <w:szCs w:val="28"/>
        </w:rPr>
        <w:t xml:space="preserve"> The performance itself isn’t being measured – simply a fact </w:t>
      </w:r>
      <w:r w:rsidR="00D828EC">
        <w:rPr>
          <w:b/>
          <w:sz w:val="28"/>
          <w:szCs w:val="28"/>
        </w:rPr>
        <w:t xml:space="preserve">i.e. </w:t>
      </w:r>
      <w:r w:rsidR="00A83E3B">
        <w:rPr>
          <w:b/>
          <w:sz w:val="28"/>
          <w:szCs w:val="28"/>
        </w:rPr>
        <w:t xml:space="preserve">‘how much is being spent’ </w:t>
      </w:r>
    </w:p>
    <w:p w14:paraId="7420716E" w14:textId="77777777" w:rsidR="005947CE" w:rsidRDefault="005947CE" w:rsidP="005947CE">
      <w:pPr>
        <w:spacing w:after="0" w:line="240" w:lineRule="auto"/>
        <w:rPr>
          <w:b/>
          <w:color w:val="0070C0"/>
          <w:sz w:val="28"/>
          <w:szCs w:val="28"/>
        </w:rPr>
      </w:pPr>
    </w:p>
    <w:p w14:paraId="1BAC8592" w14:textId="77777777" w:rsidR="00A83E3B" w:rsidRDefault="00A83E3B" w:rsidP="005947CE">
      <w:pPr>
        <w:spacing w:after="0" w:line="240" w:lineRule="auto"/>
        <w:rPr>
          <w:b/>
          <w:color w:val="0070C0"/>
          <w:sz w:val="28"/>
          <w:szCs w:val="28"/>
        </w:rPr>
      </w:pPr>
      <w:r w:rsidRPr="00A83E3B">
        <w:rPr>
          <w:b/>
          <w:color w:val="0070C0"/>
          <w:sz w:val="28"/>
          <w:szCs w:val="28"/>
        </w:rPr>
        <w:sym w:font="Wingdings" w:char="F0E8"/>
      </w:r>
      <w:r>
        <w:rPr>
          <w:b/>
          <w:color w:val="0070C0"/>
          <w:sz w:val="28"/>
          <w:szCs w:val="28"/>
        </w:rPr>
        <w:t xml:space="preserve">     </w:t>
      </w:r>
      <w:r w:rsidRPr="00A83E3B">
        <w:rPr>
          <w:b/>
          <w:color w:val="0070C0"/>
          <w:sz w:val="28"/>
          <w:szCs w:val="28"/>
        </w:rPr>
        <w:t xml:space="preserve">No difference in </w:t>
      </w:r>
      <w:r w:rsidR="00D828EC">
        <w:rPr>
          <w:b/>
          <w:color w:val="0070C0"/>
          <w:sz w:val="28"/>
          <w:szCs w:val="28"/>
        </w:rPr>
        <w:t>position</w:t>
      </w:r>
      <w:r w:rsidRPr="00A83E3B">
        <w:rPr>
          <w:b/>
          <w:color w:val="0070C0"/>
          <w:sz w:val="28"/>
          <w:szCs w:val="28"/>
        </w:rPr>
        <w:t xml:space="preserve"> since last reporting period</w:t>
      </w:r>
    </w:p>
    <w:p w14:paraId="448CE836" w14:textId="77777777" w:rsidR="005947CE" w:rsidRDefault="005947CE" w:rsidP="005947CE">
      <w:pPr>
        <w:spacing w:after="0" w:line="240" w:lineRule="auto"/>
      </w:pPr>
    </w:p>
    <w:p w14:paraId="08D4F49F" w14:textId="77777777" w:rsidR="005947CE" w:rsidRDefault="005947CE" w:rsidP="005947CE">
      <w:pPr>
        <w:spacing w:after="0" w:line="240" w:lineRule="auto"/>
        <w:rPr>
          <w:b/>
          <w:color w:val="0070C0"/>
          <w:sz w:val="28"/>
          <w:szCs w:val="28"/>
        </w:rPr>
      </w:pPr>
    </w:p>
    <w:p w14:paraId="6CB93E3B" w14:textId="77777777" w:rsidR="005947CE" w:rsidRDefault="005947CE" w:rsidP="005947CE">
      <w:pPr>
        <w:spacing w:after="0" w:line="240" w:lineRule="auto"/>
        <w:rPr>
          <w:b/>
          <w:color w:val="0070C0"/>
          <w:sz w:val="28"/>
          <w:szCs w:val="28"/>
        </w:rPr>
      </w:pPr>
    </w:p>
    <w:p w14:paraId="1995440D" w14:textId="77777777" w:rsidR="0019623E" w:rsidRDefault="0019623E" w:rsidP="005947CE">
      <w:pPr>
        <w:spacing w:after="0" w:line="240" w:lineRule="auto"/>
        <w:rPr>
          <w:b/>
          <w:sz w:val="36"/>
          <w:szCs w:val="36"/>
        </w:rPr>
      </w:pPr>
      <w:r w:rsidRPr="0019623E">
        <w:rPr>
          <w:b/>
          <w:sz w:val="36"/>
          <w:szCs w:val="36"/>
        </w:rPr>
        <w:t>POINTS TO CONSIDER</w:t>
      </w:r>
    </w:p>
    <w:p w14:paraId="696E9F7B" w14:textId="0083BC08" w:rsidR="0058651F" w:rsidRPr="00B067D8" w:rsidRDefault="00B53022" w:rsidP="00B067D8">
      <w:pPr>
        <w:pStyle w:val="ListParagraph"/>
        <w:numPr>
          <w:ilvl w:val="0"/>
          <w:numId w:val="2"/>
        </w:numPr>
        <w:spacing w:after="0" w:line="240" w:lineRule="auto"/>
        <w:ind w:left="567" w:hanging="283"/>
        <w:rPr>
          <w:sz w:val="28"/>
          <w:szCs w:val="28"/>
        </w:rPr>
      </w:pPr>
      <w:r w:rsidRPr="00B067D8">
        <w:rPr>
          <w:sz w:val="28"/>
          <w:szCs w:val="28"/>
        </w:rPr>
        <w:t xml:space="preserve">Geography and </w:t>
      </w:r>
      <w:r w:rsidR="0058651F" w:rsidRPr="00B067D8">
        <w:rPr>
          <w:sz w:val="28"/>
          <w:szCs w:val="28"/>
        </w:rPr>
        <w:t>demograph</w:t>
      </w:r>
      <w:r w:rsidR="006951E1" w:rsidRPr="00B067D8">
        <w:rPr>
          <w:sz w:val="28"/>
          <w:szCs w:val="28"/>
        </w:rPr>
        <w:t>y</w:t>
      </w:r>
      <w:r w:rsidR="0058651F" w:rsidRPr="00B067D8">
        <w:rPr>
          <w:sz w:val="28"/>
          <w:szCs w:val="28"/>
        </w:rPr>
        <w:t xml:space="preserve"> </w:t>
      </w:r>
      <w:r w:rsidRPr="00B067D8">
        <w:rPr>
          <w:sz w:val="28"/>
          <w:szCs w:val="28"/>
        </w:rPr>
        <w:t xml:space="preserve">impact </w:t>
      </w:r>
      <w:r w:rsidR="0058651F" w:rsidRPr="00B067D8">
        <w:rPr>
          <w:sz w:val="28"/>
          <w:szCs w:val="28"/>
        </w:rPr>
        <w:t xml:space="preserve">on indicators in </w:t>
      </w:r>
      <w:r w:rsidR="00B24AF3" w:rsidRPr="00B067D8">
        <w:rPr>
          <w:sz w:val="28"/>
          <w:szCs w:val="28"/>
        </w:rPr>
        <w:t>a variety of ways</w:t>
      </w:r>
      <w:r w:rsidR="0058651F" w:rsidRPr="00B067D8">
        <w:rPr>
          <w:sz w:val="28"/>
          <w:szCs w:val="28"/>
        </w:rPr>
        <w:t xml:space="preserve">. </w:t>
      </w:r>
      <w:r w:rsidR="006951E1" w:rsidRPr="00B067D8">
        <w:rPr>
          <w:sz w:val="28"/>
          <w:szCs w:val="28"/>
        </w:rPr>
        <w:t>Performance may</w:t>
      </w:r>
      <w:r w:rsidR="00B24AF3" w:rsidRPr="00B067D8">
        <w:rPr>
          <w:sz w:val="28"/>
          <w:szCs w:val="28"/>
        </w:rPr>
        <w:t xml:space="preserve"> be aided or hin</w:t>
      </w:r>
      <w:r w:rsidR="006951E1" w:rsidRPr="00B067D8">
        <w:rPr>
          <w:sz w:val="28"/>
          <w:szCs w:val="28"/>
        </w:rPr>
        <w:t>der</w:t>
      </w:r>
      <w:r w:rsidR="00B24AF3" w:rsidRPr="00B067D8">
        <w:rPr>
          <w:sz w:val="28"/>
          <w:szCs w:val="28"/>
        </w:rPr>
        <w:t>ed by demographic trends. Where this is an issue for specific indicators, this is highlighted in the narrative.</w:t>
      </w:r>
    </w:p>
    <w:p w14:paraId="3417840B" w14:textId="77777777" w:rsidR="00365E83" w:rsidRPr="000F6BF9" w:rsidRDefault="00FA0322" w:rsidP="00B24AF3">
      <w:pPr>
        <w:pStyle w:val="ListParagraph"/>
        <w:numPr>
          <w:ilvl w:val="0"/>
          <w:numId w:val="2"/>
        </w:numPr>
        <w:ind w:left="567" w:hanging="283"/>
        <w:rPr>
          <w:sz w:val="28"/>
          <w:szCs w:val="28"/>
        </w:rPr>
      </w:pPr>
      <w:r w:rsidRPr="000F6BF9">
        <w:rPr>
          <w:sz w:val="28"/>
          <w:szCs w:val="28"/>
        </w:rPr>
        <w:t>For most indicators the Base Year data is 2010/11.</w:t>
      </w:r>
      <w:r w:rsidR="00365E83" w:rsidRPr="000F6BF9">
        <w:t xml:space="preserve"> </w:t>
      </w:r>
    </w:p>
    <w:p w14:paraId="53B75B9D" w14:textId="3B957E92" w:rsidR="0052729C" w:rsidRPr="000F6BF9" w:rsidRDefault="0052729C" w:rsidP="00B24AF3">
      <w:pPr>
        <w:pStyle w:val="ListParagraph"/>
        <w:numPr>
          <w:ilvl w:val="0"/>
          <w:numId w:val="2"/>
        </w:numPr>
        <w:spacing w:after="0" w:line="240" w:lineRule="auto"/>
        <w:ind w:left="567" w:hanging="283"/>
        <w:rPr>
          <w:sz w:val="28"/>
          <w:szCs w:val="28"/>
        </w:rPr>
      </w:pPr>
      <w:r w:rsidRPr="000F6BF9">
        <w:rPr>
          <w:sz w:val="28"/>
          <w:szCs w:val="28"/>
        </w:rPr>
        <w:t>In all cases ‘real’ cash figures have been used</w:t>
      </w:r>
      <w:r w:rsidR="000F6BF9" w:rsidRPr="000F6BF9">
        <w:rPr>
          <w:sz w:val="28"/>
          <w:szCs w:val="28"/>
        </w:rPr>
        <w:t xml:space="preserve">. This means that costs for previous years have been adjusted to reflect 2018/19 values. In turn, this means that historic costs mentioned in this report </w:t>
      </w:r>
      <w:r w:rsidR="00B067D8">
        <w:rPr>
          <w:sz w:val="28"/>
          <w:szCs w:val="28"/>
        </w:rPr>
        <w:t>do</w:t>
      </w:r>
      <w:r w:rsidR="000F6BF9" w:rsidRPr="000F6BF9">
        <w:rPr>
          <w:sz w:val="28"/>
          <w:szCs w:val="28"/>
        </w:rPr>
        <w:t xml:space="preserve"> not match figures reported in previous years</w:t>
      </w:r>
      <w:r w:rsidR="006951E1">
        <w:rPr>
          <w:sz w:val="28"/>
          <w:szCs w:val="28"/>
        </w:rPr>
        <w:t>' LGBF reports or datasets</w:t>
      </w:r>
      <w:r w:rsidR="000F6BF9" w:rsidRPr="000F6BF9">
        <w:rPr>
          <w:sz w:val="28"/>
          <w:szCs w:val="28"/>
        </w:rPr>
        <w:t>.</w:t>
      </w:r>
    </w:p>
    <w:p w14:paraId="3C427A71" w14:textId="0B916465" w:rsidR="001551A9" w:rsidRPr="000F6BF9" w:rsidRDefault="001551A9" w:rsidP="005947CE">
      <w:pPr>
        <w:pStyle w:val="ListParagraph"/>
        <w:numPr>
          <w:ilvl w:val="0"/>
          <w:numId w:val="2"/>
        </w:numPr>
        <w:spacing w:after="0" w:line="240" w:lineRule="auto"/>
        <w:ind w:left="567" w:hanging="283"/>
        <w:rPr>
          <w:sz w:val="28"/>
          <w:szCs w:val="28"/>
        </w:rPr>
      </w:pPr>
      <w:r w:rsidRPr="000F6BF9">
        <w:rPr>
          <w:sz w:val="28"/>
          <w:szCs w:val="28"/>
        </w:rPr>
        <w:t>Family Groups</w:t>
      </w:r>
      <w:r w:rsidR="006951E1">
        <w:rPr>
          <w:sz w:val="28"/>
          <w:szCs w:val="28"/>
        </w:rPr>
        <w:t>:</w:t>
      </w:r>
      <w:r w:rsidRPr="000F6BF9">
        <w:rPr>
          <w:sz w:val="28"/>
          <w:szCs w:val="28"/>
        </w:rPr>
        <w:t xml:space="preserve"> </w:t>
      </w:r>
      <w:r w:rsidR="006951E1">
        <w:rPr>
          <w:sz w:val="28"/>
          <w:szCs w:val="28"/>
        </w:rPr>
        <w:t>t</w:t>
      </w:r>
      <w:r w:rsidR="00B24AF3">
        <w:rPr>
          <w:sz w:val="28"/>
          <w:szCs w:val="28"/>
        </w:rPr>
        <w:t xml:space="preserve">he LGBF uses two sets of </w:t>
      </w:r>
      <w:r w:rsidRPr="000F6BF9">
        <w:rPr>
          <w:sz w:val="28"/>
          <w:szCs w:val="28"/>
        </w:rPr>
        <w:t xml:space="preserve">Family Groups </w:t>
      </w:r>
      <w:r w:rsidR="00B24AF3">
        <w:rPr>
          <w:sz w:val="28"/>
          <w:szCs w:val="28"/>
        </w:rPr>
        <w:t>for comparisons between similar areas. The two sets of Family groups are centred around:</w:t>
      </w:r>
      <w:r w:rsidRPr="000F6BF9">
        <w:rPr>
          <w:sz w:val="28"/>
          <w:szCs w:val="28"/>
        </w:rPr>
        <w:t xml:space="preserve"> </w:t>
      </w:r>
    </w:p>
    <w:p w14:paraId="5D6003CF" w14:textId="3992E272" w:rsidR="001551A9" w:rsidRPr="000F6BF9" w:rsidRDefault="001551A9" w:rsidP="005947CE">
      <w:pPr>
        <w:pStyle w:val="ListParagraph"/>
        <w:numPr>
          <w:ilvl w:val="1"/>
          <w:numId w:val="2"/>
        </w:numPr>
        <w:spacing w:after="0" w:line="240" w:lineRule="auto"/>
        <w:ind w:left="1134" w:hanging="283"/>
        <w:rPr>
          <w:sz w:val="28"/>
          <w:szCs w:val="28"/>
        </w:rPr>
      </w:pPr>
      <w:r w:rsidRPr="00B24AF3">
        <w:rPr>
          <w:b/>
          <w:sz w:val="28"/>
          <w:szCs w:val="28"/>
        </w:rPr>
        <w:t>People’s Services</w:t>
      </w:r>
      <w:r w:rsidRPr="000F6BF9">
        <w:rPr>
          <w:sz w:val="28"/>
          <w:szCs w:val="28"/>
        </w:rPr>
        <w:t>: Children</w:t>
      </w:r>
      <w:r w:rsidR="00B24AF3">
        <w:rPr>
          <w:sz w:val="28"/>
          <w:szCs w:val="28"/>
        </w:rPr>
        <w:t>;</w:t>
      </w:r>
      <w:r w:rsidRPr="000F6BF9">
        <w:rPr>
          <w:sz w:val="28"/>
          <w:szCs w:val="28"/>
        </w:rPr>
        <w:t xml:space="preserve"> Social Work and Housing</w:t>
      </w:r>
      <w:r w:rsidR="00B24AF3">
        <w:rPr>
          <w:sz w:val="28"/>
          <w:szCs w:val="28"/>
        </w:rPr>
        <w:t>.</w:t>
      </w:r>
      <w:r w:rsidRPr="000F6BF9">
        <w:rPr>
          <w:sz w:val="28"/>
          <w:szCs w:val="28"/>
        </w:rPr>
        <w:t xml:space="preserve"> </w:t>
      </w:r>
    </w:p>
    <w:p w14:paraId="477F1655" w14:textId="34064F12" w:rsidR="001551A9" w:rsidRDefault="001551A9" w:rsidP="005947CE">
      <w:pPr>
        <w:pStyle w:val="ListParagraph"/>
        <w:numPr>
          <w:ilvl w:val="1"/>
          <w:numId w:val="2"/>
        </w:numPr>
        <w:spacing w:after="0" w:line="240" w:lineRule="auto"/>
        <w:ind w:left="1134" w:hanging="283"/>
        <w:rPr>
          <w:sz w:val="28"/>
          <w:szCs w:val="28"/>
        </w:rPr>
      </w:pPr>
      <w:r w:rsidRPr="00B24AF3">
        <w:rPr>
          <w:b/>
          <w:sz w:val="28"/>
          <w:szCs w:val="28"/>
        </w:rPr>
        <w:t>Corporate Services</w:t>
      </w:r>
      <w:r w:rsidRPr="000F6BF9">
        <w:rPr>
          <w:sz w:val="28"/>
          <w:szCs w:val="28"/>
        </w:rPr>
        <w:t>: Environment</w:t>
      </w:r>
      <w:r w:rsidR="00B24AF3">
        <w:rPr>
          <w:sz w:val="28"/>
          <w:szCs w:val="28"/>
        </w:rPr>
        <w:t>;</w:t>
      </w:r>
      <w:r w:rsidRPr="000F6BF9">
        <w:rPr>
          <w:sz w:val="28"/>
          <w:szCs w:val="28"/>
        </w:rPr>
        <w:t xml:space="preserve"> Culture &amp; Leisure, Economic Development</w:t>
      </w:r>
      <w:r w:rsidR="00B24AF3">
        <w:rPr>
          <w:sz w:val="28"/>
          <w:szCs w:val="28"/>
        </w:rPr>
        <w:t>;</w:t>
      </w:r>
      <w:r w:rsidRPr="000F6BF9">
        <w:rPr>
          <w:sz w:val="28"/>
          <w:szCs w:val="28"/>
        </w:rPr>
        <w:t xml:space="preserve"> Corporate and Property.</w:t>
      </w:r>
    </w:p>
    <w:p w14:paraId="12710771" w14:textId="2DB95F6E" w:rsidR="00B24AF3" w:rsidRPr="00B24AF3" w:rsidRDefault="00B24AF3" w:rsidP="00B24AF3">
      <w:pPr>
        <w:spacing w:after="0" w:line="240" w:lineRule="auto"/>
        <w:ind w:left="567"/>
        <w:rPr>
          <w:sz w:val="28"/>
          <w:szCs w:val="28"/>
        </w:rPr>
      </w:pPr>
      <w:r>
        <w:rPr>
          <w:sz w:val="28"/>
          <w:szCs w:val="28"/>
        </w:rPr>
        <w:t>Membership of these two sets of family groups are different.</w:t>
      </w:r>
    </w:p>
    <w:p w14:paraId="71889790" w14:textId="7C7C16D6" w:rsidR="001551A9" w:rsidRPr="000F6BF9" w:rsidRDefault="001551A9" w:rsidP="00B24AF3">
      <w:pPr>
        <w:spacing w:after="0" w:line="240" w:lineRule="auto"/>
        <w:ind w:left="567"/>
        <w:rPr>
          <w:sz w:val="28"/>
          <w:szCs w:val="28"/>
        </w:rPr>
      </w:pPr>
      <w:r w:rsidRPr="000F6BF9">
        <w:rPr>
          <w:sz w:val="28"/>
          <w:szCs w:val="28"/>
        </w:rPr>
        <w:t xml:space="preserve">Within People's Services we are part of </w:t>
      </w:r>
      <w:r w:rsidR="00B067D8">
        <w:rPr>
          <w:sz w:val="28"/>
          <w:szCs w:val="28"/>
        </w:rPr>
        <w:t>a family group</w:t>
      </w:r>
      <w:r w:rsidRPr="000F6BF9">
        <w:rPr>
          <w:sz w:val="28"/>
          <w:szCs w:val="28"/>
        </w:rPr>
        <w:t xml:space="preserve"> with</w:t>
      </w:r>
      <w:r w:rsidR="00B24AF3">
        <w:rPr>
          <w:sz w:val="28"/>
          <w:szCs w:val="28"/>
        </w:rPr>
        <w:t>:</w:t>
      </w:r>
      <w:r w:rsidRPr="000F6BF9">
        <w:rPr>
          <w:sz w:val="28"/>
          <w:szCs w:val="28"/>
        </w:rPr>
        <w:t xml:space="preserve"> Angus; East Lothian; Highland; Midlothian; Moray; Scottish Borders</w:t>
      </w:r>
      <w:r w:rsidR="00B24AF3">
        <w:rPr>
          <w:sz w:val="28"/>
          <w:szCs w:val="28"/>
        </w:rPr>
        <w:t xml:space="preserve">; </w:t>
      </w:r>
      <w:r w:rsidRPr="000F6BF9">
        <w:rPr>
          <w:sz w:val="28"/>
          <w:szCs w:val="28"/>
        </w:rPr>
        <w:t>Shetland.</w:t>
      </w:r>
    </w:p>
    <w:p w14:paraId="202B639A" w14:textId="77777777" w:rsidR="005947CE" w:rsidRPr="000F6BF9" w:rsidRDefault="005947CE" w:rsidP="00B24AF3">
      <w:pPr>
        <w:spacing w:after="0" w:line="240" w:lineRule="auto"/>
        <w:ind w:left="567"/>
        <w:rPr>
          <w:sz w:val="28"/>
          <w:szCs w:val="28"/>
        </w:rPr>
      </w:pPr>
    </w:p>
    <w:p w14:paraId="3B98E130" w14:textId="517C9EA9" w:rsidR="00E35A8D" w:rsidRPr="000F6BF9" w:rsidRDefault="001551A9" w:rsidP="00B24AF3">
      <w:pPr>
        <w:spacing w:after="0" w:line="240" w:lineRule="auto"/>
        <w:ind w:left="567"/>
        <w:rPr>
          <w:sz w:val="28"/>
          <w:szCs w:val="28"/>
        </w:rPr>
      </w:pPr>
      <w:r w:rsidRPr="000F6BF9">
        <w:rPr>
          <w:sz w:val="28"/>
          <w:szCs w:val="28"/>
        </w:rPr>
        <w:lastRenderedPageBreak/>
        <w:t xml:space="preserve">Within Corporate Services we are part of </w:t>
      </w:r>
      <w:r w:rsidR="00B067D8">
        <w:rPr>
          <w:sz w:val="28"/>
          <w:szCs w:val="28"/>
        </w:rPr>
        <w:t>a family group</w:t>
      </w:r>
      <w:r w:rsidRPr="000F6BF9">
        <w:rPr>
          <w:sz w:val="28"/>
          <w:szCs w:val="28"/>
        </w:rPr>
        <w:t xml:space="preserve"> with</w:t>
      </w:r>
      <w:r w:rsidR="00B24AF3">
        <w:rPr>
          <w:sz w:val="28"/>
          <w:szCs w:val="28"/>
        </w:rPr>
        <w:t>:</w:t>
      </w:r>
      <w:r w:rsidRPr="000F6BF9">
        <w:rPr>
          <w:sz w:val="28"/>
          <w:szCs w:val="28"/>
        </w:rPr>
        <w:t xml:space="preserve"> Aberdeenshire; Dumfries and Galloway; Eilean Siar; Highland; Orkney Islands; Scottish Borders</w:t>
      </w:r>
      <w:r w:rsidR="00B24AF3">
        <w:rPr>
          <w:sz w:val="28"/>
          <w:szCs w:val="28"/>
        </w:rPr>
        <w:t>;</w:t>
      </w:r>
      <w:r w:rsidRPr="000F6BF9">
        <w:rPr>
          <w:sz w:val="28"/>
          <w:szCs w:val="28"/>
        </w:rPr>
        <w:t xml:space="preserve"> Stirling.</w:t>
      </w:r>
    </w:p>
    <w:p w14:paraId="7303CAE5" w14:textId="77777777" w:rsidR="005947CE" w:rsidRPr="005947CE" w:rsidRDefault="005947CE" w:rsidP="005947CE">
      <w:pPr>
        <w:spacing w:after="0" w:line="240" w:lineRule="auto"/>
        <w:rPr>
          <w:b/>
          <w:sz w:val="28"/>
          <w:szCs w:val="28"/>
        </w:rPr>
      </w:pPr>
    </w:p>
    <w:p w14:paraId="738BB8F0" w14:textId="54B6F0A3" w:rsidR="00F51F8B" w:rsidRPr="005947CE" w:rsidRDefault="005947CE" w:rsidP="005947CE">
      <w:pPr>
        <w:spacing w:after="0" w:line="240" w:lineRule="auto"/>
        <w:rPr>
          <w:b/>
          <w:sz w:val="28"/>
          <w:szCs w:val="28"/>
        </w:rPr>
      </w:pPr>
      <w:r w:rsidRPr="005947CE">
        <w:rPr>
          <w:b/>
          <w:sz w:val="28"/>
          <w:szCs w:val="28"/>
        </w:rPr>
        <w:t>Abbreviations</w:t>
      </w:r>
      <w:r w:rsidR="00B24AF3">
        <w:rPr>
          <w:b/>
          <w:sz w:val="28"/>
          <w:szCs w:val="28"/>
        </w:rPr>
        <w:t xml:space="preserve"> used in this report</w:t>
      </w:r>
      <w:r w:rsidRPr="005947CE">
        <w:rPr>
          <w:b/>
          <w:sz w:val="28"/>
          <w:szCs w:val="28"/>
        </w:rPr>
        <w:t>:</w:t>
      </w:r>
    </w:p>
    <w:p w14:paraId="5242B1DE" w14:textId="369ABC70" w:rsidR="00F51F8B" w:rsidRPr="00F51F8B" w:rsidRDefault="00F51F8B" w:rsidP="005947CE">
      <w:pPr>
        <w:pStyle w:val="ListParagraph"/>
        <w:spacing w:after="0" w:line="240" w:lineRule="auto"/>
        <w:ind w:left="567" w:hanging="283"/>
        <w:rPr>
          <w:b/>
          <w:sz w:val="28"/>
          <w:szCs w:val="28"/>
        </w:rPr>
      </w:pPr>
      <w:r w:rsidRPr="00F51F8B">
        <w:rPr>
          <w:b/>
          <w:sz w:val="28"/>
          <w:szCs w:val="28"/>
        </w:rPr>
        <w:t>•</w:t>
      </w:r>
      <w:r w:rsidRPr="00F51F8B">
        <w:rPr>
          <w:b/>
          <w:sz w:val="28"/>
          <w:szCs w:val="28"/>
        </w:rPr>
        <w:tab/>
        <w:t xml:space="preserve">MYE – </w:t>
      </w:r>
      <w:r w:rsidR="00E35A8D">
        <w:rPr>
          <w:b/>
          <w:sz w:val="28"/>
          <w:szCs w:val="28"/>
        </w:rPr>
        <w:t xml:space="preserve">Population </w:t>
      </w:r>
      <w:r w:rsidRPr="00F51F8B">
        <w:rPr>
          <w:b/>
          <w:sz w:val="28"/>
          <w:szCs w:val="28"/>
        </w:rPr>
        <w:t>Mid-Year Estimates</w:t>
      </w:r>
      <w:r w:rsidR="00E35A8D">
        <w:rPr>
          <w:b/>
          <w:sz w:val="28"/>
          <w:szCs w:val="28"/>
        </w:rPr>
        <w:t xml:space="preserve">. </w:t>
      </w:r>
      <w:r w:rsidR="00E35A8D" w:rsidRPr="00B24AF3">
        <w:rPr>
          <w:b/>
          <w:sz w:val="28"/>
          <w:szCs w:val="28"/>
        </w:rPr>
        <w:t>For this LGBF 201</w:t>
      </w:r>
      <w:r w:rsidR="00B24AF3" w:rsidRPr="00B24AF3">
        <w:rPr>
          <w:b/>
          <w:sz w:val="28"/>
          <w:szCs w:val="28"/>
        </w:rPr>
        <w:t>8</w:t>
      </w:r>
      <w:r w:rsidR="00E35A8D" w:rsidRPr="00B24AF3">
        <w:rPr>
          <w:b/>
          <w:sz w:val="28"/>
          <w:szCs w:val="28"/>
        </w:rPr>
        <w:t>/1</w:t>
      </w:r>
      <w:r w:rsidR="00B24AF3" w:rsidRPr="00B24AF3">
        <w:rPr>
          <w:b/>
          <w:sz w:val="28"/>
          <w:szCs w:val="28"/>
        </w:rPr>
        <w:t>9</w:t>
      </w:r>
      <w:r w:rsidR="00E35A8D" w:rsidRPr="00B24AF3">
        <w:rPr>
          <w:b/>
          <w:sz w:val="28"/>
          <w:szCs w:val="28"/>
        </w:rPr>
        <w:t xml:space="preserve"> report</w:t>
      </w:r>
      <w:r w:rsidR="00B24AF3" w:rsidRPr="00B24AF3">
        <w:rPr>
          <w:b/>
          <w:sz w:val="28"/>
          <w:szCs w:val="28"/>
        </w:rPr>
        <w:t>,</w:t>
      </w:r>
      <w:r w:rsidR="00E35A8D" w:rsidRPr="00B24AF3">
        <w:rPr>
          <w:b/>
          <w:sz w:val="28"/>
          <w:szCs w:val="28"/>
        </w:rPr>
        <w:t xml:space="preserve"> the </w:t>
      </w:r>
      <w:r w:rsidR="00B067D8">
        <w:rPr>
          <w:b/>
          <w:sz w:val="28"/>
          <w:szCs w:val="28"/>
        </w:rPr>
        <w:t xml:space="preserve">2018 </w:t>
      </w:r>
      <w:r w:rsidR="00E35A8D" w:rsidRPr="00B24AF3">
        <w:rPr>
          <w:b/>
          <w:sz w:val="28"/>
          <w:szCs w:val="28"/>
        </w:rPr>
        <w:t>MYE</w:t>
      </w:r>
      <w:r w:rsidR="00B067D8">
        <w:rPr>
          <w:b/>
          <w:sz w:val="28"/>
          <w:szCs w:val="28"/>
        </w:rPr>
        <w:t>s are</w:t>
      </w:r>
      <w:r w:rsidR="00B24AF3" w:rsidRPr="00B24AF3">
        <w:rPr>
          <w:b/>
          <w:sz w:val="28"/>
          <w:szCs w:val="28"/>
        </w:rPr>
        <w:t xml:space="preserve"> used</w:t>
      </w:r>
      <w:r w:rsidR="00B067D8">
        <w:rPr>
          <w:b/>
          <w:sz w:val="28"/>
          <w:szCs w:val="28"/>
        </w:rPr>
        <w:t>. F</w:t>
      </w:r>
      <w:r w:rsidR="00B24AF3" w:rsidRPr="00B24AF3">
        <w:rPr>
          <w:b/>
          <w:sz w:val="28"/>
          <w:szCs w:val="28"/>
        </w:rPr>
        <w:t>or</w:t>
      </w:r>
      <w:r w:rsidR="00B067D8">
        <w:rPr>
          <w:b/>
          <w:sz w:val="28"/>
          <w:szCs w:val="28"/>
        </w:rPr>
        <w:t xml:space="preserve"> 2018 MYE for </w:t>
      </w:r>
      <w:r w:rsidR="00B24AF3" w:rsidRPr="00B24AF3">
        <w:rPr>
          <w:b/>
          <w:sz w:val="28"/>
          <w:szCs w:val="28"/>
        </w:rPr>
        <w:t xml:space="preserve">Argyll and Bute </w:t>
      </w:r>
      <w:r w:rsidR="00B067D8">
        <w:rPr>
          <w:b/>
          <w:sz w:val="28"/>
          <w:szCs w:val="28"/>
        </w:rPr>
        <w:t>was</w:t>
      </w:r>
      <w:r w:rsidR="00E35A8D" w:rsidRPr="00B24AF3">
        <w:rPr>
          <w:b/>
          <w:sz w:val="28"/>
          <w:szCs w:val="28"/>
        </w:rPr>
        <w:t xml:space="preserve"> </w:t>
      </w:r>
      <w:r w:rsidR="00E35A8D" w:rsidRPr="00B067D8">
        <w:rPr>
          <w:b/>
          <w:sz w:val="28"/>
          <w:szCs w:val="28"/>
        </w:rPr>
        <w:t>86,</w:t>
      </w:r>
      <w:r w:rsidR="00B067D8">
        <w:rPr>
          <w:b/>
          <w:sz w:val="28"/>
          <w:szCs w:val="28"/>
        </w:rPr>
        <w:t>260</w:t>
      </w:r>
    </w:p>
    <w:p w14:paraId="63AE7407" w14:textId="77777777" w:rsidR="00F51F8B" w:rsidRPr="00F51F8B" w:rsidRDefault="00F51F8B" w:rsidP="005947CE">
      <w:pPr>
        <w:pStyle w:val="ListParagraph"/>
        <w:spacing w:after="0" w:line="240" w:lineRule="auto"/>
        <w:ind w:left="567" w:hanging="283"/>
        <w:rPr>
          <w:b/>
          <w:sz w:val="28"/>
          <w:szCs w:val="28"/>
        </w:rPr>
      </w:pPr>
      <w:r w:rsidRPr="00F51F8B">
        <w:rPr>
          <w:b/>
          <w:sz w:val="28"/>
          <w:szCs w:val="28"/>
        </w:rPr>
        <w:t>•</w:t>
      </w:r>
      <w:r w:rsidRPr="00F51F8B">
        <w:rPr>
          <w:b/>
          <w:sz w:val="28"/>
          <w:szCs w:val="28"/>
        </w:rPr>
        <w:tab/>
        <w:t>SIMD – Scottish Index of Multiple Deprivation</w:t>
      </w:r>
    </w:p>
    <w:p w14:paraId="7891B427" w14:textId="77777777" w:rsidR="00F762BA" w:rsidRPr="00F51F8B" w:rsidRDefault="00F51F8B" w:rsidP="005947CE">
      <w:pPr>
        <w:pStyle w:val="ListParagraph"/>
        <w:spacing w:after="0" w:line="240" w:lineRule="auto"/>
        <w:ind w:left="567" w:hanging="283"/>
        <w:rPr>
          <w:b/>
          <w:sz w:val="28"/>
          <w:szCs w:val="28"/>
        </w:rPr>
      </w:pPr>
      <w:r w:rsidRPr="00F51F8B">
        <w:rPr>
          <w:b/>
          <w:sz w:val="28"/>
          <w:szCs w:val="28"/>
        </w:rPr>
        <w:t>•</w:t>
      </w:r>
      <w:r w:rsidRPr="00F51F8B">
        <w:rPr>
          <w:b/>
          <w:sz w:val="28"/>
          <w:szCs w:val="28"/>
        </w:rPr>
        <w:tab/>
        <w:t>SHS – Scottish Household Survey</w:t>
      </w:r>
    </w:p>
    <w:p w14:paraId="08B942D1" w14:textId="77777777" w:rsidR="00F762BA" w:rsidRDefault="00F762BA" w:rsidP="005947CE">
      <w:pPr>
        <w:spacing w:after="0" w:line="240" w:lineRule="auto"/>
        <w:rPr>
          <w:b/>
          <w:sz w:val="28"/>
          <w:szCs w:val="28"/>
        </w:rPr>
      </w:pPr>
    </w:p>
    <w:p w14:paraId="175F5329" w14:textId="4A47CD56" w:rsidR="00B24AF3" w:rsidRPr="00B24AF3" w:rsidRDefault="00B24AF3" w:rsidP="005947CE">
      <w:pPr>
        <w:spacing w:after="0" w:line="240" w:lineRule="auto"/>
        <w:rPr>
          <w:sz w:val="28"/>
          <w:szCs w:val="28"/>
        </w:rPr>
      </w:pPr>
      <w:r w:rsidRPr="000C2019">
        <w:rPr>
          <w:sz w:val="28"/>
          <w:szCs w:val="28"/>
        </w:rPr>
        <w:t xml:space="preserve">The </w:t>
      </w:r>
      <w:r w:rsidR="000C2019">
        <w:rPr>
          <w:sz w:val="28"/>
          <w:szCs w:val="28"/>
        </w:rPr>
        <w:t>complete</w:t>
      </w:r>
      <w:r w:rsidR="00B067D8" w:rsidRPr="000C2019">
        <w:rPr>
          <w:sz w:val="28"/>
          <w:szCs w:val="28"/>
        </w:rPr>
        <w:t xml:space="preserve"> </w:t>
      </w:r>
      <w:r w:rsidRPr="000C2019">
        <w:rPr>
          <w:sz w:val="28"/>
          <w:szCs w:val="28"/>
        </w:rPr>
        <w:t xml:space="preserve">LGBF </w:t>
      </w:r>
      <w:r w:rsidR="00B067D8" w:rsidRPr="000C2019">
        <w:rPr>
          <w:sz w:val="28"/>
          <w:szCs w:val="28"/>
        </w:rPr>
        <w:t>dataset is made up of</w:t>
      </w:r>
      <w:r w:rsidR="000C2019" w:rsidRPr="000C2019">
        <w:rPr>
          <w:sz w:val="28"/>
          <w:szCs w:val="28"/>
        </w:rPr>
        <w:t xml:space="preserve"> 90</w:t>
      </w:r>
      <w:r w:rsidRPr="000C2019">
        <w:rPr>
          <w:sz w:val="28"/>
          <w:szCs w:val="28"/>
        </w:rPr>
        <w:t xml:space="preserve"> indicators. However, this report provides information on</w:t>
      </w:r>
      <w:r w:rsidR="000C2019" w:rsidRPr="000C2019">
        <w:rPr>
          <w:sz w:val="28"/>
          <w:szCs w:val="28"/>
        </w:rPr>
        <w:t xml:space="preserve"> only 44</w:t>
      </w:r>
      <w:r w:rsidRPr="000C2019">
        <w:rPr>
          <w:sz w:val="28"/>
          <w:szCs w:val="28"/>
        </w:rPr>
        <w:t xml:space="preserve"> of these. </w:t>
      </w:r>
      <w:r w:rsidR="000C2019">
        <w:rPr>
          <w:sz w:val="28"/>
          <w:szCs w:val="28"/>
        </w:rPr>
        <w:t xml:space="preserve">These 44 indicators are </w:t>
      </w:r>
      <w:r w:rsidRPr="000C2019">
        <w:rPr>
          <w:sz w:val="28"/>
          <w:szCs w:val="28"/>
        </w:rPr>
        <w:t>those that are deemed to be of most interest to Argyll and Bute.</w:t>
      </w:r>
    </w:p>
    <w:p w14:paraId="3F060EA8" w14:textId="77777777" w:rsidR="00B24AF3" w:rsidRPr="00B24AF3" w:rsidRDefault="00B24AF3" w:rsidP="005947CE">
      <w:pPr>
        <w:spacing w:after="0" w:line="240" w:lineRule="auto"/>
        <w:rPr>
          <w:sz w:val="28"/>
          <w:szCs w:val="28"/>
        </w:rPr>
      </w:pPr>
    </w:p>
    <w:p w14:paraId="00828BE0" w14:textId="0DD18E10" w:rsidR="00B24AF3" w:rsidRDefault="000C2019" w:rsidP="005947CE">
      <w:pPr>
        <w:spacing w:after="0" w:line="240" w:lineRule="auto"/>
        <w:rPr>
          <w:sz w:val="28"/>
          <w:szCs w:val="28"/>
        </w:rPr>
      </w:pPr>
      <w:r>
        <w:rPr>
          <w:sz w:val="28"/>
          <w:szCs w:val="28"/>
        </w:rPr>
        <w:t xml:space="preserve">Note: An additional three indicators had been identified as important. However, </w:t>
      </w:r>
      <w:r w:rsidR="00B24AF3" w:rsidRPr="000C2019">
        <w:rPr>
          <w:sz w:val="28"/>
          <w:szCs w:val="28"/>
        </w:rPr>
        <w:t>these are not included as no data was available.</w:t>
      </w:r>
      <w:r>
        <w:rPr>
          <w:sz w:val="28"/>
          <w:szCs w:val="28"/>
        </w:rPr>
        <w:t xml:space="preserve"> These are:</w:t>
      </w:r>
    </w:p>
    <w:p w14:paraId="4966B30E" w14:textId="1CA18D59" w:rsidR="000C2019" w:rsidRPr="000C2019" w:rsidRDefault="000C2019" w:rsidP="000C2019">
      <w:pPr>
        <w:pStyle w:val="ListParagraph"/>
        <w:numPr>
          <w:ilvl w:val="0"/>
          <w:numId w:val="22"/>
        </w:numPr>
        <w:spacing w:after="0" w:line="240" w:lineRule="auto"/>
        <w:rPr>
          <w:sz w:val="28"/>
          <w:szCs w:val="28"/>
        </w:rPr>
      </w:pPr>
      <w:r w:rsidRPr="000C2019">
        <w:rPr>
          <w:sz w:val="28"/>
          <w:szCs w:val="28"/>
        </w:rPr>
        <w:t>CHN17</w:t>
      </w:r>
      <w:r>
        <w:rPr>
          <w:sz w:val="28"/>
          <w:szCs w:val="28"/>
        </w:rPr>
        <w:t xml:space="preserve">: </w:t>
      </w:r>
      <w:r w:rsidRPr="000C2019">
        <w:rPr>
          <w:sz w:val="28"/>
          <w:szCs w:val="28"/>
        </w:rPr>
        <w:t>% of children meeting developmental milestones</w:t>
      </w:r>
    </w:p>
    <w:p w14:paraId="03F00DDC" w14:textId="45D07AE3" w:rsidR="000C2019" w:rsidRPr="000C2019" w:rsidRDefault="000C2019" w:rsidP="000C2019">
      <w:pPr>
        <w:pStyle w:val="ListParagraph"/>
        <w:numPr>
          <w:ilvl w:val="0"/>
          <w:numId w:val="22"/>
        </w:numPr>
        <w:spacing w:after="0" w:line="240" w:lineRule="auto"/>
        <w:rPr>
          <w:sz w:val="28"/>
          <w:szCs w:val="28"/>
        </w:rPr>
      </w:pPr>
      <w:r w:rsidRPr="000C2019">
        <w:rPr>
          <w:sz w:val="28"/>
          <w:szCs w:val="28"/>
        </w:rPr>
        <w:t>CHN19b</w:t>
      </w:r>
      <w:r>
        <w:rPr>
          <w:sz w:val="28"/>
          <w:szCs w:val="28"/>
        </w:rPr>
        <w:t xml:space="preserve">: </w:t>
      </w:r>
      <w:r w:rsidRPr="000C2019">
        <w:rPr>
          <w:sz w:val="28"/>
          <w:szCs w:val="28"/>
        </w:rPr>
        <w:t>School attendance rate (Looked After Children)</w:t>
      </w:r>
    </w:p>
    <w:p w14:paraId="6B262ED1" w14:textId="2F42841D" w:rsidR="000C2019" w:rsidRPr="000C2019" w:rsidRDefault="000C2019" w:rsidP="000C2019">
      <w:pPr>
        <w:pStyle w:val="ListParagraph"/>
        <w:numPr>
          <w:ilvl w:val="0"/>
          <w:numId w:val="22"/>
        </w:numPr>
        <w:spacing w:after="0" w:line="240" w:lineRule="auto"/>
        <w:rPr>
          <w:sz w:val="28"/>
          <w:szCs w:val="28"/>
        </w:rPr>
      </w:pPr>
      <w:r w:rsidRPr="000C2019">
        <w:rPr>
          <w:sz w:val="28"/>
          <w:szCs w:val="28"/>
        </w:rPr>
        <w:t>CHN20b</w:t>
      </w:r>
      <w:r>
        <w:rPr>
          <w:sz w:val="28"/>
          <w:szCs w:val="28"/>
        </w:rPr>
        <w:t xml:space="preserve">: </w:t>
      </w:r>
      <w:r w:rsidRPr="000C2019">
        <w:rPr>
          <w:sz w:val="28"/>
          <w:szCs w:val="28"/>
        </w:rPr>
        <w:t>School exclusion rates (per 1,000 'looked after children')</w:t>
      </w:r>
    </w:p>
    <w:p w14:paraId="2B3CC055" w14:textId="77777777" w:rsidR="00B24AF3" w:rsidRPr="005947CE" w:rsidRDefault="00B24AF3" w:rsidP="005947CE">
      <w:pPr>
        <w:spacing w:after="0" w:line="240" w:lineRule="auto"/>
        <w:rPr>
          <w:b/>
          <w:sz w:val="28"/>
          <w:szCs w:val="28"/>
        </w:rPr>
      </w:pPr>
    </w:p>
    <w:p w14:paraId="752B1A56" w14:textId="4E94591F" w:rsidR="001C3D4C" w:rsidRDefault="001C3D4C">
      <w:pPr>
        <w:rPr>
          <w:b/>
          <w:sz w:val="28"/>
          <w:szCs w:val="28"/>
        </w:rPr>
      </w:pPr>
      <w:r>
        <w:rPr>
          <w:b/>
          <w:sz w:val="28"/>
          <w:szCs w:val="28"/>
        </w:rPr>
        <w:br w:type="page"/>
      </w:r>
    </w:p>
    <w:p w14:paraId="0252D0A1" w14:textId="77777777" w:rsidR="0052182E" w:rsidRDefault="0052182E" w:rsidP="005947CE">
      <w:pPr>
        <w:spacing w:after="0" w:line="240" w:lineRule="auto"/>
        <w:rPr>
          <w:b/>
          <w:sz w:val="28"/>
          <w:szCs w:val="28"/>
        </w:rPr>
      </w:pPr>
    </w:p>
    <w:p w14:paraId="3E1A6D68" w14:textId="40974218" w:rsidR="002D0E83" w:rsidRDefault="002D0E83" w:rsidP="009A329B">
      <w:pPr>
        <w:pStyle w:val="Heading2"/>
        <w:spacing w:before="0" w:line="240" w:lineRule="auto"/>
        <w:jc w:val="center"/>
        <w:rPr>
          <w:b/>
          <w:color w:val="auto"/>
          <w:sz w:val="52"/>
          <w:szCs w:val="52"/>
        </w:rPr>
      </w:pPr>
      <w:bookmarkStart w:id="1" w:name="_Toc56757680"/>
      <w:r w:rsidRPr="002D0E83">
        <w:rPr>
          <w:b/>
          <w:color w:val="auto"/>
          <w:sz w:val="52"/>
          <w:szCs w:val="52"/>
        </w:rPr>
        <w:t>EDUCATION</w:t>
      </w:r>
      <w:bookmarkEnd w:id="1"/>
    </w:p>
    <w:p w14:paraId="22E0BC8B" w14:textId="64F6A128" w:rsidR="00800A1F" w:rsidRDefault="00800A1F"/>
    <w:tbl>
      <w:tblPr>
        <w:tblW w:w="15309" w:type="dxa"/>
        <w:jc w:val="center"/>
        <w:tblLook w:val="04A0" w:firstRow="1" w:lastRow="0" w:firstColumn="1" w:lastColumn="0" w:noHBand="0" w:noVBand="1"/>
      </w:tblPr>
      <w:tblGrid>
        <w:gridCol w:w="5524"/>
        <w:gridCol w:w="1984"/>
        <w:gridCol w:w="5812"/>
        <w:gridCol w:w="1989"/>
      </w:tblGrid>
      <w:tr w:rsidR="00B70A13" w:rsidRPr="005D65E6" w14:paraId="3948B483" w14:textId="77777777" w:rsidTr="00B70A13">
        <w:trPr>
          <w:trHeight w:val="79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56BD5A94" w14:textId="77777777" w:rsidR="00B70A13" w:rsidRPr="005D65E6" w:rsidRDefault="00B70A13" w:rsidP="005D65E6">
            <w:pPr>
              <w:rPr>
                <w:b/>
                <w:sz w:val="32"/>
                <w:szCs w:val="32"/>
              </w:rPr>
            </w:pPr>
            <w:r w:rsidRPr="005D65E6">
              <w:rPr>
                <w:b/>
                <w:sz w:val="32"/>
                <w:szCs w:val="32"/>
              </w:rPr>
              <w:t>SERVICE: EDUCATION</w:t>
            </w:r>
          </w:p>
        </w:tc>
      </w:tr>
      <w:tr w:rsidR="008C6B59" w:rsidRPr="00C042BF" w14:paraId="37E69602" w14:textId="77777777" w:rsidTr="0050477E">
        <w:trPr>
          <w:trHeight w:val="567"/>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3541C9C7" w14:textId="77777777" w:rsidR="008C6B59" w:rsidRPr="00C042BF" w:rsidRDefault="008C6B59" w:rsidP="009A329B">
            <w:pPr>
              <w:pStyle w:val="Heading1"/>
              <w:spacing w:before="0" w:line="240" w:lineRule="auto"/>
              <w:rPr>
                <w:b/>
                <w:color w:val="auto"/>
              </w:rPr>
            </w:pPr>
            <w:bookmarkStart w:id="2" w:name="_Toc56757681"/>
            <w:r w:rsidRPr="00C042BF">
              <w:rPr>
                <w:b/>
                <w:color w:val="auto"/>
              </w:rPr>
              <w:t>INDICATOR REF: CHN4</w:t>
            </w:r>
            <w:r w:rsidR="0069713C">
              <w:rPr>
                <w:b/>
                <w:color w:val="auto"/>
              </w:rPr>
              <w:t xml:space="preserve"> -</w:t>
            </w:r>
            <w:r w:rsidR="007D3ED6" w:rsidRPr="00C042BF">
              <w:rPr>
                <w:b/>
                <w:color w:val="auto"/>
              </w:rPr>
              <w:t xml:space="preserve"> Percentage </w:t>
            </w:r>
            <w:r w:rsidRPr="00C042BF">
              <w:rPr>
                <w:b/>
                <w:color w:val="auto"/>
              </w:rPr>
              <w:t xml:space="preserve">of </w:t>
            </w:r>
            <w:r w:rsidR="007D3ED6" w:rsidRPr="00C042BF">
              <w:rPr>
                <w:b/>
                <w:color w:val="auto"/>
              </w:rPr>
              <w:t>pupils gaining 5+ awards at level 5</w:t>
            </w:r>
            <w:bookmarkEnd w:id="2"/>
            <w:r w:rsidR="007D3ED6" w:rsidRPr="00C042BF">
              <w:rPr>
                <w:b/>
                <w:color w:val="auto"/>
              </w:rPr>
              <w:t xml:space="preserve"> </w:t>
            </w:r>
          </w:p>
        </w:tc>
      </w:tr>
      <w:tr w:rsidR="00900E48" w14:paraId="6D87FE26" w14:textId="77777777" w:rsidTr="0050477E">
        <w:trPr>
          <w:trHeight w:val="45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2415A5D7" w14:textId="76029D02" w:rsidR="00900E48" w:rsidRPr="00F30561" w:rsidRDefault="00900E48" w:rsidP="00362ABA">
            <w:pPr>
              <w:spacing w:after="0" w:line="240" w:lineRule="auto"/>
              <w:jc w:val="center"/>
              <w:rPr>
                <w:b/>
                <w:color w:val="0070C0"/>
                <w:sz w:val="28"/>
                <w:szCs w:val="28"/>
              </w:rPr>
            </w:pPr>
            <w:r w:rsidRPr="00C577BD">
              <w:rPr>
                <w:b/>
                <w:color w:val="0070C0"/>
                <w:sz w:val="28"/>
                <w:szCs w:val="28"/>
              </w:rPr>
              <w:t>Performance Range:</w:t>
            </w:r>
            <w:r w:rsidR="00F30561" w:rsidRPr="005A6C7B">
              <w:rPr>
                <w:b/>
                <w:color w:val="0070C0"/>
                <w:sz w:val="28"/>
                <w:szCs w:val="28"/>
              </w:rPr>
              <w:t xml:space="preserve"> </w:t>
            </w:r>
            <w:r w:rsidR="00045BB6">
              <w:rPr>
                <w:b/>
                <w:color w:val="0070C0"/>
                <w:sz w:val="28"/>
                <w:szCs w:val="28"/>
              </w:rPr>
              <w:t>53</w:t>
            </w:r>
            <w:r w:rsidR="00F30561">
              <w:rPr>
                <w:b/>
                <w:color w:val="0070C0"/>
                <w:sz w:val="28"/>
                <w:szCs w:val="28"/>
              </w:rPr>
              <w:t xml:space="preserve">% to </w:t>
            </w:r>
            <w:r w:rsidR="00045BB6">
              <w:rPr>
                <w:b/>
                <w:color w:val="0070C0"/>
                <w:sz w:val="28"/>
                <w:szCs w:val="28"/>
              </w:rPr>
              <w:t>86</w:t>
            </w:r>
            <w:r w:rsidR="00F30561">
              <w:rPr>
                <w:b/>
                <w:color w:val="0070C0"/>
                <w:sz w:val="28"/>
                <w:szCs w:val="28"/>
              </w:rPr>
              <w:t>%</w:t>
            </w:r>
            <w:r w:rsidR="005E2139">
              <w:rPr>
                <w:b/>
                <w:color w:val="0070C0"/>
                <w:sz w:val="28"/>
                <w:szCs w:val="28"/>
              </w:rPr>
              <w:t xml:space="preserve">  </w:t>
            </w:r>
            <w:r w:rsidR="005E2139" w:rsidRPr="005E2139">
              <w:rPr>
                <w:b/>
                <w:color w:val="0070C0"/>
                <w:sz w:val="28"/>
                <w:szCs w:val="28"/>
              </w:rPr>
              <w:t>(Highest is best)</w:t>
            </w:r>
          </w:p>
        </w:tc>
      </w:tr>
      <w:tr w:rsidR="0087095F" w14:paraId="2E8A0D18" w14:textId="77777777" w:rsidTr="0050477E">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52DD7DE" w14:textId="77777777" w:rsidR="0087095F" w:rsidRDefault="0087095F" w:rsidP="009A329B">
            <w:pPr>
              <w:spacing w:after="0" w:line="240" w:lineRule="auto"/>
              <w:jc w:val="center"/>
              <w:rPr>
                <w:b/>
                <w:sz w:val="28"/>
                <w:szCs w:val="28"/>
              </w:rPr>
            </w:pPr>
            <w:r>
              <w:rPr>
                <w:b/>
                <w:sz w:val="28"/>
                <w:szCs w:val="28"/>
              </w:rPr>
              <w:t>ARGYLL AND BUTE</w:t>
            </w:r>
          </w:p>
        </w:tc>
        <w:tc>
          <w:tcPr>
            <w:tcW w:w="780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ABF0E08" w14:textId="77777777" w:rsidR="0087095F" w:rsidRDefault="0087095F" w:rsidP="009A329B">
            <w:pPr>
              <w:spacing w:after="0" w:line="240" w:lineRule="auto"/>
              <w:jc w:val="center"/>
              <w:rPr>
                <w:b/>
                <w:sz w:val="28"/>
                <w:szCs w:val="28"/>
              </w:rPr>
            </w:pPr>
            <w:r>
              <w:rPr>
                <w:b/>
                <w:sz w:val="28"/>
                <w:szCs w:val="28"/>
              </w:rPr>
              <w:t>SCOTLAND</w:t>
            </w:r>
          </w:p>
        </w:tc>
      </w:tr>
      <w:tr w:rsidR="009D0416" w14:paraId="084B96BC" w14:textId="77777777" w:rsidTr="0050477E">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vAlign w:val="center"/>
          </w:tcPr>
          <w:p w14:paraId="01251070" w14:textId="0C32247C" w:rsidR="009D0416" w:rsidRPr="00F16CDA" w:rsidRDefault="00045BB6" w:rsidP="009A329B">
            <w:pPr>
              <w:spacing w:after="0" w:line="240" w:lineRule="auto"/>
              <w:jc w:val="center"/>
              <w:rPr>
                <w:b/>
                <w:sz w:val="28"/>
                <w:szCs w:val="28"/>
              </w:rPr>
            </w:pPr>
            <w:r>
              <w:rPr>
                <w:b/>
                <w:sz w:val="28"/>
                <w:szCs w:val="28"/>
              </w:rPr>
              <w:t>67</w:t>
            </w:r>
            <w:r w:rsidR="00362ABA">
              <w:rPr>
                <w:b/>
                <w:sz w:val="28"/>
                <w:szCs w:val="28"/>
              </w:rPr>
              <w:t>%</w:t>
            </w:r>
            <w:r w:rsidR="00193322">
              <w:rPr>
                <w:b/>
                <w:sz w:val="28"/>
                <w:szCs w:val="28"/>
              </w:rPr>
              <w:t xml:space="preserve"> </w:t>
            </w:r>
          </w:p>
        </w:tc>
        <w:tc>
          <w:tcPr>
            <w:tcW w:w="7801" w:type="dxa"/>
            <w:gridSpan w:val="2"/>
            <w:tcBorders>
              <w:top w:val="single" w:sz="4" w:space="0" w:color="auto"/>
              <w:left w:val="single" w:sz="4" w:space="0" w:color="auto"/>
              <w:bottom w:val="single" w:sz="4" w:space="0" w:color="auto"/>
              <w:right w:val="single" w:sz="4" w:space="0" w:color="auto"/>
            </w:tcBorders>
            <w:vAlign w:val="center"/>
          </w:tcPr>
          <w:p w14:paraId="05F44D71" w14:textId="7AAE53FA" w:rsidR="009D0416" w:rsidRPr="00EC5E64" w:rsidRDefault="00045BB6" w:rsidP="009A329B">
            <w:pPr>
              <w:spacing w:after="0" w:line="240" w:lineRule="auto"/>
              <w:jc w:val="center"/>
              <w:rPr>
                <w:b/>
                <w:sz w:val="28"/>
                <w:szCs w:val="28"/>
              </w:rPr>
            </w:pPr>
            <w:r>
              <w:rPr>
                <w:b/>
                <w:sz w:val="28"/>
                <w:szCs w:val="28"/>
              </w:rPr>
              <w:t>63</w:t>
            </w:r>
            <w:r w:rsidR="00362ABA">
              <w:rPr>
                <w:b/>
                <w:sz w:val="28"/>
                <w:szCs w:val="28"/>
              </w:rPr>
              <w:t>%</w:t>
            </w:r>
            <w:r w:rsidR="00193322">
              <w:rPr>
                <w:b/>
                <w:sz w:val="28"/>
                <w:szCs w:val="28"/>
              </w:rPr>
              <w:t xml:space="preserve"> </w:t>
            </w:r>
          </w:p>
        </w:tc>
      </w:tr>
      <w:tr w:rsidR="00107922" w14:paraId="4190D024" w14:textId="77777777" w:rsidTr="0050477E">
        <w:trPr>
          <w:trHeight w:val="397"/>
          <w:jc w:val="center"/>
        </w:trPr>
        <w:tc>
          <w:tcPr>
            <w:tcW w:w="5524" w:type="dxa"/>
            <w:tcBorders>
              <w:top w:val="single" w:sz="4" w:space="0" w:color="auto"/>
              <w:left w:val="single" w:sz="4" w:space="0" w:color="auto"/>
              <w:bottom w:val="single" w:sz="4" w:space="0" w:color="auto"/>
              <w:right w:val="single" w:sz="4" w:space="0" w:color="auto"/>
            </w:tcBorders>
            <w:vAlign w:val="center"/>
          </w:tcPr>
          <w:p w14:paraId="56E26F7D" w14:textId="71DE6CD0" w:rsidR="00107922" w:rsidRPr="008A0215" w:rsidRDefault="00107922" w:rsidP="00362ABA">
            <w:pPr>
              <w:spacing w:after="0" w:line="240" w:lineRule="auto"/>
              <w:jc w:val="center"/>
              <w:rPr>
                <w:b/>
                <w:sz w:val="28"/>
                <w:szCs w:val="28"/>
              </w:rPr>
            </w:pPr>
            <w:r w:rsidRPr="008A0215">
              <w:rPr>
                <w:b/>
                <w:sz w:val="28"/>
                <w:szCs w:val="28"/>
              </w:rPr>
              <w:t>CHANGE 201</w:t>
            </w:r>
            <w:r w:rsidR="00362ABA">
              <w:rPr>
                <w:b/>
                <w:sz w:val="28"/>
                <w:szCs w:val="28"/>
              </w:rPr>
              <w:t>7</w:t>
            </w:r>
            <w:r w:rsidRPr="008A0215">
              <w:rPr>
                <w:b/>
                <w:sz w:val="28"/>
                <w:szCs w:val="28"/>
              </w:rPr>
              <w:t>/1</w:t>
            </w:r>
            <w:r w:rsidR="00362ABA">
              <w:rPr>
                <w:b/>
                <w:sz w:val="28"/>
                <w:szCs w:val="28"/>
              </w:rPr>
              <w:t>8</w:t>
            </w:r>
            <w:r w:rsidRPr="008A0215">
              <w:rPr>
                <w:b/>
                <w:sz w:val="28"/>
                <w:szCs w:val="28"/>
              </w:rPr>
              <w:t xml:space="preserve"> TO </w:t>
            </w:r>
            <w:r>
              <w:rPr>
                <w:b/>
                <w:sz w:val="28"/>
                <w:szCs w:val="28"/>
              </w:rPr>
              <w:t>201</w:t>
            </w:r>
            <w:r w:rsidR="00362ABA">
              <w:rPr>
                <w:b/>
                <w:sz w:val="28"/>
                <w:szCs w:val="28"/>
              </w:rPr>
              <w:t>8</w:t>
            </w:r>
            <w:r>
              <w:rPr>
                <w:b/>
                <w:sz w:val="28"/>
                <w:szCs w:val="28"/>
              </w:rPr>
              <w:t>/1</w:t>
            </w:r>
            <w:r w:rsidR="00362ABA">
              <w:rPr>
                <w:b/>
                <w:sz w:val="28"/>
                <w:szCs w:val="28"/>
              </w:rPr>
              <w:t>9</w:t>
            </w:r>
          </w:p>
        </w:tc>
        <w:tc>
          <w:tcPr>
            <w:tcW w:w="1984" w:type="dxa"/>
            <w:tcBorders>
              <w:top w:val="single" w:sz="4" w:space="0" w:color="auto"/>
              <w:left w:val="single" w:sz="4" w:space="0" w:color="auto"/>
              <w:bottom w:val="single" w:sz="4" w:space="0" w:color="auto"/>
              <w:right w:val="single" w:sz="4" w:space="0" w:color="auto"/>
            </w:tcBorders>
            <w:vAlign w:val="center"/>
          </w:tcPr>
          <w:p w14:paraId="47DBEA07" w14:textId="6CFEB481" w:rsidR="00107922" w:rsidRDefault="00780F1F" w:rsidP="00780F1F">
            <w:pPr>
              <w:spacing w:after="0" w:line="240" w:lineRule="auto"/>
              <w:jc w:val="center"/>
              <w:rPr>
                <w:b/>
                <w:sz w:val="28"/>
                <w:szCs w:val="28"/>
              </w:rPr>
            </w:pPr>
            <w:r>
              <w:rPr>
                <w:b/>
                <w:sz w:val="28"/>
                <w:szCs w:val="28"/>
              </w:rPr>
              <w:t>1</w:t>
            </w:r>
            <w:r w:rsidR="00D3602D">
              <w:rPr>
                <w:b/>
                <w:sz w:val="28"/>
                <w:szCs w:val="28"/>
              </w:rPr>
              <w:t>.00</w:t>
            </w:r>
            <w:r w:rsidR="00193322">
              <w:rPr>
                <w:b/>
                <w:sz w:val="28"/>
                <w:szCs w:val="28"/>
              </w:rPr>
              <w:t xml:space="preserve"> </w:t>
            </w:r>
            <w:r w:rsidR="00193322" w:rsidRPr="00EC5E64">
              <w:rPr>
                <w:b/>
                <w:color w:val="00B050"/>
                <w:sz w:val="28"/>
                <w:szCs w:val="28"/>
              </w:rPr>
              <w:sym w:font="Wingdings" w:char="F0E9"/>
            </w:r>
          </w:p>
        </w:tc>
        <w:tc>
          <w:tcPr>
            <w:tcW w:w="5812" w:type="dxa"/>
            <w:tcBorders>
              <w:top w:val="single" w:sz="4" w:space="0" w:color="auto"/>
              <w:left w:val="single" w:sz="4" w:space="0" w:color="auto"/>
              <w:bottom w:val="single" w:sz="4" w:space="0" w:color="auto"/>
              <w:right w:val="single" w:sz="4" w:space="0" w:color="auto"/>
            </w:tcBorders>
            <w:vAlign w:val="center"/>
          </w:tcPr>
          <w:p w14:paraId="5AADF5DE" w14:textId="6D978F3F" w:rsidR="00107922" w:rsidRPr="00561760" w:rsidRDefault="00107922" w:rsidP="00362ABA">
            <w:pPr>
              <w:spacing w:after="0" w:line="240" w:lineRule="auto"/>
              <w:jc w:val="center"/>
              <w:rPr>
                <w:sz w:val="28"/>
                <w:szCs w:val="28"/>
              </w:rPr>
            </w:pPr>
            <w:r w:rsidRPr="00561760">
              <w:rPr>
                <w:sz w:val="28"/>
                <w:szCs w:val="28"/>
              </w:rPr>
              <w:t xml:space="preserve">CHANGE </w:t>
            </w:r>
            <w:r>
              <w:rPr>
                <w:sz w:val="28"/>
                <w:szCs w:val="28"/>
              </w:rPr>
              <w:t>201</w:t>
            </w:r>
            <w:r w:rsidR="00362ABA">
              <w:rPr>
                <w:sz w:val="28"/>
                <w:szCs w:val="28"/>
              </w:rPr>
              <w:t>7</w:t>
            </w:r>
            <w:r>
              <w:rPr>
                <w:sz w:val="28"/>
                <w:szCs w:val="28"/>
              </w:rPr>
              <w:t>/1</w:t>
            </w:r>
            <w:r w:rsidR="00362ABA">
              <w:rPr>
                <w:sz w:val="28"/>
                <w:szCs w:val="28"/>
              </w:rPr>
              <w:t>8</w:t>
            </w:r>
            <w:r>
              <w:rPr>
                <w:sz w:val="28"/>
                <w:szCs w:val="28"/>
              </w:rPr>
              <w:t xml:space="preserve"> TO 201</w:t>
            </w:r>
            <w:r w:rsidR="00362ABA">
              <w:rPr>
                <w:sz w:val="28"/>
                <w:szCs w:val="28"/>
              </w:rPr>
              <w:t>8</w:t>
            </w:r>
            <w:r>
              <w:rPr>
                <w:sz w:val="28"/>
                <w:szCs w:val="28"/>
              </w:rPr>
              <w:t>/1</w:t>
            </w:r>
            <w:r w:rsidR="00362ABA">
              <w:rPr>
                <w:sz w:val="28"/>
                <w:szCs w:val="28"/>
              </w:rPr>
              <w:t>9</w:t>
            </w:r>
          </w:p>
        </w:tc>
        <w:tc>
          <w:tcPr>
            <w:tcW w:w="1989" w:type="dxa"/>
            <w:tcBorders>
              <w:top w:val="single" w:sz="4" w:space="0" w:color="auto"/>
              <w:left w:val="single" w:sz="4" w:space="0" w:color="auto"/>
              <w:bottom w:val="single" w:sz="4" w:space="0" w:color="auto"/>
              <w:right w:val="single" w:sz="4" w:space="0" w:color="auto"/>
            </w:tcBorders>
            <w:vAlign w:val="center"/>
          </w:tcPr>
          <w:p w14:paraId="5EBE31FE" w14:textId="03320D11" w:rsidR="00107922" w:rsidRPr="00780F1F" w:rsidRDefault="00D3602D" w:rsidP="009A329B">
            <w:pPr>
              <w:spacing w:after="0" w:line="240" w:lineRule="auto"/>
              <w:jc w:val="center"/>
              <w:rPr>
                <w:b/>
                <w:sz w:val="28"/>
                <w:szCs w:val="28"/>
                <w:highlight w:val="yellow"/>
              </w:rPr>
            </w:pPr>
            <w:r w:rsidRPr="00D3602D">
              <w:rPr>
                <w:sz w:val="28"/>
                <w:szCs w:val="28"/>
              </w:rPr>
              <w:t>1</w:t>
            </w:r>
            <w:r>
              <w:rPr>
                <w:sz w:val="28"/>
                <w:szCs w:val="28"/>
              </w:rPr>
              <w:t>.00</w:t>
            </w:r>
            <w:r>
              <w:rPr>
                <w:b/>
                <w:color w:val="00B050"/>
                <w:sz w:val="28"/>
                <w:szCs w:val="28"/>
              </w:rPr>
              <w:t xml:space="preserve"> </w:t>
            </w:r>
            <w:r w:rsidR="00193322" w:rsidRPr="00EC5E64">
              <w:rPr>
                <w:b/>
                <w:color w:val="00B050"/>
                <w:sz w:val="28"/>
                <w:szCs w:val="28"/>
              </w:rPr>
              <w:sym w:font="Wingdings" w:char="F0E9"/>
            </w:r>
          </w:p>
        </w:tc>
      </w:tr>
      <w:tr w:rsidR="00107922" w14:paraId="0D367B7F" w14:textId="77777777" w:rsidTr="0050477E">
        <w:trPr>
          <w:trHeight w:val="397"/>
          <w:jc w:val="center"/>
        </w:trPr>
        <w:tc>
          <w:tcPr>
            <w:tcW w:w="5524" w:type="dxa"/>
            <w:tcBorders>
              <w:top w:val="single" w:sz="4" w:space="0" w:color="auto"/>
              <w:left w:val="single" w:sz="4" w:space="0" w:color="auto"/>
              <w:bottom w:val="single" w:sz="4" w:space="0" w:color="auto"/>
              <w:right w:val="single" w:sz="4" w:space="0" w:color="auto"/>
            </w:tcBorders>
            <w:vAlign w:val="center"/>
          </w:tcPr>
          <w:p w14:paraId="6B8DBA03" w14:textId="7D01490A" w:rsidR="00107922" w:rsidRPr="008A0215" w:rsidRDefault="00107922" w:rsidP="00362ABA">
            <w:pPr>
              <w:spacing w:after="0" w:line="240" w:lineRule="auto"/>
              <w:jc w:val="center"/>
              <w:rPr>
                <w:b/>
                <w:sz w:val="28"/>
                <w:szCs w:val="28"/>
              </w:rPr>
            </w:pPr>
            <w:r>
              <w:rPr>
                <w:b/>
                <w:sz w:val="28"/>
                <w:szCs w:val="28"/>
              </w:rPr>
              <w:t>CHANGE BASE YEAR TO 201</w:t>
            </w:r>
            <w:r w:rsidR="00362ABA">
              <w:rPr>
                <w:b/>
                <w:sz w:val="28"/>
                <w:szCs w:val="28"/>
              </w:rPr>
              <w:t>8</w:t>
            </w:r>
            <w:r>
              <w:rPr>
                <w:b/>
                <w:sz w:val="28"/>
                <w:szCs w:val="28"/>
              </w:rPr>
              <w:t>/1</w:t>
            </w:r>
            <w:r w:rsidR="00362ABA">
              <w:rPr>
                <w:b/>
                <w:sz w:val="28"/>
                <w:szCs w:val="28"/>
              </w:rPr>
              <w:t>9</w:t>
            </w:r>
          </w:p>
        </w:tc>
        <w:tc>
          <w:tcPr>
            <w:tcW w:w="1984" w:type="dxa"/>
            <w:tcBorders>
              <w:top w:val="single" w:sz="4" w:space="0" w:color="auto"/>
              <w:left w:val="single" w:sz="4" w:space="0" w:color="auto"/>
              <w:bottom w:val="single" w:sz="4" w:space="0" w:color="auto"/>
              <w:right w:val="single" w:sz="4" w:space="0" w:color="auto"/>
            </w:tcBorders>
            <w:vAlign w:val="center"/>
          </w:tcPr>
          <w:p w14:paraId="3725E320" w14:textId="16653752" w:rsidR="00107922" w:rsidRDefault="00780F1F" w:rsidP="009A329B">
            <w:pPr>
              <w:spacing w:after="0" w:line="240" w:lineRule="auto"/>
              <w:jc w:val="center"/>
              <w:rPr>
                <w:b/>
                <w:sz w:val="28"/>
                <w:szCs w:val="28"/>
              </w:rPr>
            </w:pPr>
            <w:r>
              <w:rPr>
                <w:b/>
                <w:sz w:val="28"/>
                <w:szCs w:val="28"/>
              </w:rPr>
              <w:t>1</w:t>
            </w:r>
            <w:r w:rsidR="00362ABA">
              <w:rPr>
                <w:b/>
                <w:sz w:val="28"/>
                <w:szCs w:val="28"/>
              </w:rPr>
              <w:t>0.00</w:t>
            </w:r>
            <w:r w:rsidR="00193322">
              <w:rPr>
                <w:b/>
                <w:sz w:val="28"/>
                <w:szCs w:val="28"/>
              </w:rPr>
              <w:t xml:space="preserve"> </w:t>
            </w:r>
            <w:r w:rsidR="00193322" w:rsidRPr="00EC5E64">
              <w:rPr>
                <w:b/>
                <w:color w:val="00B050"/>
                <w:sz w:val="28"/>
                <w:szCs w:val="28"/>
              </w:rPr>
              <w:sym w:font="Wingdings" w:char="F0E9"/>
            </w:r>
          </w:p>
        </w:tc>
        <w:tc>
          <w:tcPr>
            <w:tcW w:w="5812" w:type="dxa"/>
            <w:tcBorders>
              <w:top w:val="single" w:sz="4" w:space="0" w:color="auto"/>
              <w:left w:val="single" w:sz="4" w:space="0" w:color="auto"/>
              <w:bottom w:val="single" w:sz="4" w:space="0" w:color="auto"/>
              <w:right w:val="single" w:sz="4" w:space="0" w:color="auto"/>
            </w:tcBorders>
            <w:vAlign w:val="center"/>
          </w:tcPr>
          <w:p w14:paraId="43871AF7" w14:textId="65DD3245" w:rsidR="00107922" w:rsidRPr="00561760" w:rsidRDefault="00107922" w:rsidP="00362ABA">
            <w:pPr>
              <w:spacing w:after="0" w:line="240" w:lineRule="auto"/>
              <w:jc w:val="center"/>
              <w:rPr>
                <w:sz w:val="28"/>
                <w:szCs w:val="28"/>
              </w:rPr>
            </w:pPr>
            <w:r>
              <w:rPr>
                <w:sz w:val="28"/>
                <w:szCs w:val="28"/>
              </w:rPr>
              <w:t>CHANGE BASE YEAR TO 201</w:t>
            </w:r>
            <w:r w:rsidR="00362ABA">
              <w:rPr>
                <w:sz w:val="28"/>
                <w:szCs w:val="28"/>
              </w:rPr>
              <w:t>8</w:t>
            </w:r>
            <w:r w:rsidR="00E15EAC">
              <w:rPr>
                <w:sz w:val="28"/>
                <w:szCs w:val="28"/>
              </w:rPr>
              <w:t>/19</w:t>
            </w:r>
          </w:p>
        </w:tc>
        <w:tc>
          <w:tcPr>
            <w:tcW w:w="1989" w:type="dxa"/>
            <w:tcBorders>
              <w:top w:val="single" w:sz="4" w:space="0" w:color="auto"/>
              <w:left w:val="single" w:sz="4" w:space="0" w:color="auto"/>
              <w:bottom w:val="single" w:sz="4" w:space="0" w:color="auto"/>
              <w:right w:val="single" w:sz="4" w:space="0" w:color="auto"/>
            </w:tcBorders>
            <w:vAlign w:val="center"/>
          </w:tcPr>
          <w:p w14:paraId="3122557D" w14:textId="322BED57" w:rsidR="00107922" w:rsidRPr="00780F1F" w:rsidRDefault="00D3602D" w:rsidP="009A329B">
            <w:pPr>
              <w:spacing w:after="0" w:line="240" w:lineRule="auto"/>
              <w:jc w:val="center"/>
              <w:rPr>
                <w:b/>
                <w:sz w:val="28"/>
                <w:szCs w:val="28"/>
                <w:highlight w:val="yellow"/>
              </w:rPr>
            </w:pPr>
            <w:r w:rsidRPr="00D3602D">
              <w:rPr>
                <w:sz w:val="28"/>
                <w:szCs w:val="28"/>
              </w:rPr>
              <w:t>12</w:t>
            </w:r>
            <w:r>
              <w:rPr>
                <w:sz w:val="28"/>
                <w:szCs w:val="28"/>
              </w:rPr>
              <w:t xml:space="preserve">.00 </w:t>
            </w:r>
            <w:r w:rsidRPr="00D3602D">
              <w:rPr>
                <w:sz w:val="28"/>
                <w:szCs w:val="28"/>
              </w:rPr>
              <w:t xml:space="preserve"> </w:t>
            </w:r>
            <w:r w:rsidR="00193322" w:rsidRPr="00EC5E64">
              <w:rPr>
                <w:b/>
                <w:color w:val="00B050"/>
                <w:sz w:val="28"/>
                <w:szCs w:val="28"/>
              </w:rPr>
              <w:sym w:font="Wingdings" w:char="F0E9"/>
            </w:r>
          </w:p>
        </w:tc>
      </w:tr>
      <w:tr w:rsidR="00107922" w14:paraId="023D791F" w14:textId="77777777" w:rsidTr="00B318EA">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vAlign w:val="center"/>
          </w:tcPr>
          <w:p w14:paraId="7E2C7DDE" w14:textId="2D68408F" w:rsidR="00107922" w:rsidRPr="00C042BF" w:rsidRDefault="00107922" w:rsidP="00045BB6">
            <w:pPr>
              <w:spacing w:after="0" w:line="240" w:lineRule="auto"/>
              <w:jc w:val="center"/>
              <w:rPr>
                <w:b/>
                <w:sz w:val="28"/>
                <w:szCs w:val="28"/>
              </w:rPr>
            </w:pPr>
            <w:r w:rsidRPr="00C042BF">
              <w:rPr>
                <w:b/>
                <w:sz w:val="28"/>
                <w:szCs w:val="28"/>
              </w:rPr>
              <w:t>RANK POSITION:</w:t>
            </w:r>
            <w:r w:rsidR="00513443" w:rsidRPr="00000343">
              <w:rPr>
                <w:b/>
                <w:sz w:val="28"/>
                <w:szCs w:val="28"/>
              </w:rPr>
              <w:t xml:space="preserve"> </w:t>
            </w:r>
            <w:r w:rsidR="00045BB6">
              <w:rPr>
                <w:b/>
                <w:sz w:val="28"/>
                <w:szCs w:val="28"/>
              </w:rPr>
              <w:t xml:space="preserve">8 </w:t>
            </w:r>
            <w:r w:rsidR="00513443" w:rsidRPr="00000343">
              <w:rPr>
                <w:b/>
                <w:sz w:val="28"/>
                <w:szCs w:val="28"/>
              </w:rPr>
              <w:t xml:space="preserve"> </w:t>
            </w:r>
            <w:r w:rsidRPr="00C042BF">
              <w:rPr>
                <w:b/>
                <w:sz w:val="28"/>
                <w:szCs w:val="28"/>
              </w:rPr>
              <w:t xml:space="preserve">RANK MOVEMENT: </w:t>
            </w:r>
            <w:r w:rsidR="00045BB6">
              <w:rPr>
                <w:b/>
                <w:sz w:val="28"/>
                <w:szCs w:val="28"/>
              </w:rPr>
              <w:t>0</w:t>
            </w:r>
            <w:r w:rsidR="00193322">
              <w:rPr>
                <w:b/>
                <w:sz w:val="28"/>
                <w:szCs w:val="28"/>
              </w:rPr>
              <w:t xml:space="preserve"> </w:t>
            </w:r>
            <w:r w:rsidR="00193322" w:rsidRPr="00A83E3B">
              <w:rPr>
                <w:b/>
                <w:color w:val="0070C0"/>
                <w:sz w:val="28"/>
                <w:szCs w:val="28"/>
              </w:rPr>
              <w:sym w:font="Wingdings" w:char="F0E8"/>
            </w:r>
          </w:p>
        </w:tc>
        <w:tc>
          <w:tcPr>
            <w:tcW w:w="780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0BE59979" w14:textId="77777777" w:rsidR="00107922" w:rsidRDefault="00107922" w:rsidP="009A329B">
            <w:pPr>
              <w:spacing w:after="0" w:line="240" w:lineRule="auto"/>
              <w:jc w:val="center"/>
              <w:rPr>
                <w:b/>
                <w:sz w:val="28"/>
                <w:szCs w:val="28"/>
              </w:rPr>
            </w:pPr>
          </w:p>
        </w:tc>
      </w:tr>
      <w:tr w:rsidR="00C042BF" w14:paraId="50718681" w14:textId="77777777" w:rsidTr="00B318EA">
        <w:trPr>
          <w:trHeight w:val="397"/>
          <w:jc w:val="center"/>
        </w:trPr>
        <w:tc>
          <w:tcPr>
            <w:tcW w:w="7508"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0B5C5CA7" w14:textId="3D3FAA81" w:rsidR="00C042BF" w:rsidRPr="00C042BF" w:rsidRDefault="00C042BF" w:rsidP="00362ABA">
            <w:pPr>
              <w:spacing w:after="0" w:line="240" w:lineRule="auto"/>
              <w:jc w:val="center"/>
              <w:rPr>
                <w:b/>
                <w:sz w:val="28"/>
                <w:szCs w:val="28"/>
              </w:rPr>
            </w:pPr>
            <w:r>
              <w:rPr>
                <w:b/>
                <w:sz w:val="28"/>
                <w:szCs w:val="28"/>
              </w:rPr>
              <w:t>FAMILY GROUP RANKING 201</w:t>
            </w:r>
            <w:r w:rsidR="00362ABA">
              <w:rPr>
                <w:b/>
                <w:sz w:val="28"/>
                <w:szCs w:val="28"/>
              </w:rPr>
              <w:t>8</w:t>
            </w:r>
            <w:r>
              <w:rPr>
                <w:b/>
                <w:sz w:val="28"/>
                <w:szCs w:val="28"/>
              </w:rPr>
              <w:t>/1</w:t>
            </w:r>
            <w:r w:rsidR="00362ABA">
              <w:rPr>
                <w:b/>
                <w:sz w:val="28"/>
                <w:szCs w:val="28"/>
              </w:rPr>
              <w:t>9</w:t>
            </w:r>
          </w:p>
        </w:tc>
        <w:tc>
          <w:tcPr>
            <w:tcW w:w="7801" w:type="dxa"/>
            <w:gridSpan w:val="2"/>
            <w:tcBorders>
              <w:left w:val="single" w:sz="4" w:space="0" w:color="auto"/>
              <w:right w:val="single" w:sz="4" w:space="0" w:color="auto"/>
            </w:tcBorders>
            <w:shd w:val="clear" w:color="auto" w:fill="D9D9D9" w:themeFill="background1" w:themeFillShade="D9"/>
            <w:vAlign w:val="center"/>
          </w:tcPr>
          <w:p w14:paraId="715B2399" w14:textId="77777777" w:rsidR="00C042BF" w:rsidRDefault="00C042BF" w:rsidP="009A329B">
            <w:pPr>
              <w:spacing w:after="0" w:line="240" w:lineRule="auto"/>
              <w:jc w:val="center"/>
              <w:rPr>
                <w:b/>
                <w:sz w:val="28"/>
                <w:szCs w:val="28"/>
              </w:rPr>
            </w:pPr>
          </w:p>
        </w:tc>
      </w:tr>
      <w:tr w:rsidR="0050477E" w14:paraId="2EE161C4" w14:textId="77777777" w:rsidTr="00B318EA">
        <w:trPr>
          <w:trHeight w:val="397"/>
          <w:jc w:val="center"/>
        </w:trPr>
        <w:tc>
          <w:tcPr>
            <w:tcW w:w="7508" w:type="dxa"/>
            <w:gridSpan w:val="2"/>
            <w:tcBorders>
              <w:left w:val="single" w:sz="4" w:space="0" w:color="auto"/>
              <w:bottom w:val="single" w:sz="4" w:space="0" w:color="auto"/>
              <w:right w:val="single" w:sz="4" w:space="0" w:color="auto"/>
            </w:tcBorders>
            <w:shd w:val="clear" w:color="auto" w:fill="D9E2F3" w:themeFill="accent5" w:themeFillTint="33"/>
            <w:vAlign w:val="center"/>
          </w:tcPr>
          <w:p w14:paraId="2E41DD01" w14:textId="6A7CCAFA" w:rsidR="0050477E" w:rsidRDefault="0050477E" w:rsidP="00362ABA">
            <w:pPr>
              <w:spacing w:after="0" w:line="240" w:lineRule="auto"/>
              <w:jc w:val="center"/>
              <w:rPr>
                <w:b/>
                <w:sz w:val="28"/>
                <w:szCs w:val="28"/>
              </w:rPr>
            </w:pPr>
            <w:r>
              <w:rPr>
                <w:b/>
                <w:sz w:val="28"/>
                <w:szCs w:val="28"/>
              </w:rPr>
              <w:t>RANK POSITION:</w:t>
            </w:r>
            <w:r w:rsidR="00FD1CF1">
              <w:rPr>
                <w:b/>
                <w:sz w:val="28"/>
                <w:szCs w:val="28"/>
              </w:rPr>
              <w:t xml:space="preserve">  </w:t>
            </w:r>
            <w:r w:rsidR="00045BB6">
              <w:rPr>
                <w:b/>
                <w:sz w:val="28"/>
                <w:szCs w:val="28"/>
              </w:rPr>
              <w:t>2</w:t>
            </w:r>
            <w:r w:rsidR="00FD1CF1">
              <w:rPr>
                <w:b/>
                <w:sz w:val="28"/>
                <w:szCs w:val="28"/>
              </w:rPr>
              <w:t xml:space="preserve">  </w:t>
            </w:r>
            <w:r>
              <w:rPr>
                <w:b/>
                <w:sz w:val="28"/>
                <w:szCs w:val="28"/>
              </w:rPr>
              <w:t xml:space="preserve">RANK MOVEMENT: </w:t>
            </w:r>
            <w:r w:rsidR="00045BB6">
              <w:rPr>
                <w:b/>
                <w:sz w:val="28"/>
                <w:szCs w:val="28"/>
              </w:rPr>
              <w:t xml:space="preserve"> 0</w:t>
            </w:r>
            <w:r w:rsidR="00193322">
              <w:rPr>
                <w:b/>
                <w:sz w:val="28"/>
                <w:szCs w:val="28"/>
              </w:rPr>
              <w:t xml:space="preserve"> </w:t>
            </w:r>
            <w:r w:rsidR="00193322" w:rsidRPr="00A83E3B">
              <w:rPr>
                <w:b/>
                <w:color w:val="0070C0"/>
                <w:sz w:val="28"/>
                <w:szCs w:val="28"/>
              </w:rPr>
              <w:sym w:font="Wingdings" w:char="F0E8"/>
            </w:r>
          </w:p>
        </w:tc>
        <w:tc>
          <w:tcPr>
            <w:tcW w:w="7801"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2FC8368C" w14:textId="77777777" w:rsidR="0050477E" w:rsidRDefault="0050477E" w:rsidP="009A329B">
            <w:pPr>
              <w:spacing w:after="0" w:line="240" w:lineRule="auto"/>
              <w:jc w:val="center"/>
              <w:rPr>
                <w:b/>
                <w:sz w:val="28"/>
                <w:szCs w:val="28"/>
              </w:rPr>
            </w:pPr>
          </w:p>
        </w:tc>
      </w:tr>
      <w:tr w:rsidR="00107922" w14:paraId="1539DA61" w14:textId="77777777" w:rsidTr="00AA258A">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17706BEE" w14:textId="77777777" w:rsidR="0050477E" w:rsidRPr="0050477E" w:rsidRDefault="0050477E" w:rsidP="009A329B">
            <w:pPr>
              <w:spacing w:after="0" w:line="240" w:lineRule="auto"/>
              <w:rPr>
                <w:sz w:val="6"/>
                <w:szCs w:val="6"/>
              </w:rPr>
            </w:pPr>
          </w:p>
          <w:p w14:paraId="4EE94720" w14:textId="77777777" w:rsidR="00107922" w:rsidRDefault="00107922" w:rsidP="009A329B">
            <w:pPr>
              <w:spacing w:after="0" w:line="240" w:lineRule="auto"/>
              <w:rPr>
                <w:b/>
                <w:sz w:val="28"/>
                <w:szCs w:val="28"/>
              </w:rPr>
            </w:pPr>
            <w:r>
              <w:rPr>
                <w:b/>
                <w:sz w:val="28"/>
                <w:szCs w:val="28"/>
              </w:rPr>
              <w:t>TELLING OUR STORY</w:t>
            </w:r>
            <w:r w:rsidRPr="00F16CDA">
              <w:rPr>
                <w:b/>
                <w:sz w:val="28"/>
                <w:szCs w:val="28"/>
              </w:rPr>
              <w:t>:</w:t>
            </w:r>
          </w:p>
          <w:p w14:paraId="2DFBDFE3" w14:textId="77777777" w:rsidR="000F4CDF" w:rsidRDefault="00A2613D" w:rsidP="000F4CDF">
            <w:pPr>
              <w:rPr>
                <w:sz w:val="24"/>
                <w:szCs w:val="24"/>
              </w:rPr>
            </w:pPr>
            <w:r w:rsidRPr="006805F1">
              <w:rPr>
                <w:sz w:val="24"/>
                <w:szCs w:val="24"/>
              </w:rPr>
              <w:t xml:space="preserve">The achievements of our pupils has meant this indicator has seen an increase for 2018/19. This has been achieved through continued review of curriculum models across our secondary schools. </w:t>
            </w:r>
          </w:p>
          <w:p w14:paraId="55C99EFF" w14:textId="605AD020" w:rsidR="000904F4" w:rsidRPr="006805F1" w:rsidRDefault="000904F4" w:rsidP="000F4CDF">
            <w:pPr>
              <w:rPr>
                <w:sz w:val="24"/>
                <w:szCs w:val="24"/>
              </w:rPr>
            </w:pPr>
            <w:r w:rsidRPr="006805F1">
              <w:rPr>
                <w:sz w:val="24"/>
                <w:szCs w:val="24"/>
              </w:rPr>
              <w:t xml:space="preserve">Indicator shows a continued trend of improvement, albeit at a slower </w:t>
            </w:r>
            <w:r w:rsidR="000F4CDF">
              <w:rPr>
                <w:sz w:val="24"/>
                <w:szCs w:val="24"/>
              </w:rPr>
              <w:t>rate than in the previous year.</w:t>
            </w:r>
          </w:p>
          <w:p w14:paraId="3B1DCB3B" w14:textId="7C1BE914" w:rsidR="000904F4" w:rsidRPr="006805F1" w:rsidRDefault="000904F4" w:rsidP="009A329B">
            <w:pPr>
              <w:spacing w:after="0" w:line="240" w:lineRule="auto"/>
              <w:rPr>
                <w:sz w:val="24"/>
                <w:szCs w:val="24"/>
              </w:rPr>
            </w:pPr>
            <w:r w:rsidRPr="006805F1">
              <w:rPr>
                <w:sz w:val="24"/>
                <w:szCs w:val="24"/>
              </w:rPr>
              <w:t>There have been four consecutive years of improvement for this indicator, with the percentage of pupils gaining 5+ awards at level five increaseing year on year from the 2014-15 figure of 58%.</w:t>
            </w:r>
          </w:p>
          <w:p w14:paraId="2DD310D7" w14:textId="77777777" w:rsidR="009272FC" w:rsidRPr="0050477E" w:rsidRDefault="009272FC" w:rsidP="00362ABA">
            <w:pPr>
              <w:spacing w:after="0" w:line="240" w:lineRule="auto"/>
              <w:rPr>
                <w:rFonts w:ascii="Arial" w:hAnsi="Arial" w:cs="Arial"/>
                <w:szCs w:val="24"/>
              </w:rPr>
            </w:pPr>
          </w:p>
        </w:tc>
      </w:tr>
      <w:tr w:rsidR="00107922" w14:paraId="7A03747D" w14:textId="77777777" w:rsidTr="00AA258A">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677B7FA5" w14:textId="77777777" w:rsidR="0050477E" w:rsidRPr="0050477E" w:rsidRDefault="0050477E" w:rsidP="009A329B">
            <w:pPr>
              <w:spacing w:after="0" w:line="240" w:lineRule="auto"/>
              <w:rPr>
                <w:sz w:val="6"/>
                <w:szCs w:val="6"/>
              </w:rPr>
            </w:pPr>
          </w:p>
          <w:p w14:paraId="07DCD6EE" w14:textId="77777777" w:rsidR="00107922" w:rsidRDefault="00232953" w:rsidP="009A329B">
            <w:pPr>
              <w:spacing w:after="0" w:line="240" w:lineRule="auto"/>
              <w:rPr>
                <w:b/>
                <w:sz w:val="28"/>
                <w:szCs w:val="28"/>
              </w:rPr>
            </w:pPr>
            <w:r>
              <w:rPr>
                <w:b/>
                <w:sz w:val="28"/>
                <w:szCs w:val="28"/>
              </w:rPr>
              <w:t>LOOKING FORWARD - EXPECTED IMPACT ON INDICATOR</w:t>
            </w:r>
            <w:r w:rsidR="00107922">
              <w:rPr>
                <w:b/>
                <w:sz w:val="28"/>
                <w:szCs w:val="28"/>
              </w:rPr>
              <w:t>:</w:t>
            </w:r>
          </w:p>
          <w:p w14:paraId="08492B01" w14:textId="44745C57" w:rsidR="009272FC" w:rsidRPr="006805F1" w:rsidRDefault="00A2613D" w:rsidP="00362ABA">
            <w:pPr>
              <w:spacing w:after="0" w:line="240" w:lineRule="auto"/>
              <w:rPr>
                <w:rFonts w:ascii="Arial" w:hAnsi="Arial" w:cs="Arial"/>
                <w:sz w:val="24"/>
                <w:szCs w:val="24"/>
              </w:rPr>
            </w:pPr>
            <w:r w:rsidRPr="006805F1">
              <w:rPr>
                <w:sz w:val="24"/>
                <w:szCs w:val="24"/>
              </w:rPr>
              <w:lastRenderedPageBreak/>
              <w:t xml:space="preserve">Secondary schools continue to develop the range of awards on offer at level 5 in line with developments in the Senior Phase Curriculum. As young people decide on the most appropriate learner journey for them there may be variance in this indicator. As a result of </w:t>
            </w:r>
            <w:r w:rsidR="00A95B6B">
              <w:rPr>
                <w:sz w:val="24"/>
                <w:szCs w:val="24"/>
              </w:rPr>
              <w:t>COVID</w:t>
            </w:r>
            <w:r w:rsidRPr="006805F1">
              <w:rPr>
                <w:sz w:val="24"/>
                <w:szCs w:val="24"/>
              </w:rPr>
              <w:t xml:space="preserve"> SQA exams were cancelled in 2019/2020 and professional judgement of staff applied. This has resulted in an increase beyond that that may reasonably have been expected.</w:t>
            </w:r>
          </w:p>
        </w:tc>
      </w:tr>
    </w:tbl>
    <w:p w14:paraId="05B0D01A" w14:textId="64915DE9" w:rsidR="00D20E31" w:rsidRDefault="00D20E31">
      <w:r>
        <w:lastRenderedPageBreak/>
        <w:br w:type="page"/>
      </w:r>
    </w:p>
    <w:tbl>
      <w:tblPr>
        <w:tblW w:w="15309" w:type="dxa"/>
        <w:jc w:val="center"/>
        <w:tblLook w:val="04A0" w:firstRow="1" w:lastRow="0" w:firstColumn="1" w:lastColumn="0" w:noHBand="0" w:noVBand="1"/>
      </w:tblPr>
      <w:tblGrid>
        <w:gridCol w:w="5382"/>
        <w:gridCol w:w="2126"/>
        <w:gridCol w:w="5812"/>
        <w:gridCol w:w="1989"/>
      </w:tblGrid>
      <w:tr w:rsidR="00A376C3" w:rsidRPr="005D65E6" w14:paraId="45E489DA" w14:textId="77777777" w:rsidTr="00A376C3">
        <w:trPr>
          <w:trHeight w:val="79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45541633" w14:textId="2298AD2D" w:rsidR="00A376C3" w:rsidRPr="005D65E6" w:rsidRDefault="007D1A9D" w:rsidP="005D65E6">
            <w:pPr>
              <w:rPr>
                <w:b/>
                <w:sz w:val="32"/>
                <w:szCs w:val="32"/>
              </w:rPr>
            </w:pPr>
            <w:r>
              <w:rPr>
                <w:b/>
                <w:sz w:val="32"/>
                <w:szCs w:val="32"/>
              </w:rPr>
              <w:lastRenderedPageBreak/>
              <w:t>S</w:t>
            </w:r>
            <w:r w:rsidR="00A376C3" w:rsidRPr="005D65E6">
              <w:rPr>
                <w:b/>
                <w:sz w:val="32"/>
                <w:szCs w:val="32"/>
              </w:rPr>
              <w:t>ERVICE: EDUCATION</w:t>
            </w:r>
          </w:p>
        </w:tc>
      </w:tr>
      <w:tr w:rsidR="0087095F" w:rsidRPr="00C042BF" w14:paraId="0FB00D00" w14:textId="77777777" w:rsidTr="00C0047B">
        <w:trPr>
          <w:trHeight w:val="567"/>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6B895C8A" w14:textId="28982CD4" w:rsidR="0087095F" w:rsidRPr="00C042BF" w:rsidRDefault="0087095F" w:rsidP="009A329B">
            <w:pPr>
              <w:pStyle w:val="Heading1"/>
              <w:spacing w:before="0" w:line="240" w:lineRule="auto"/>
              <w:rPr>
                <w:b/>
                <w:color w:val="auto"/>
              </w:rPr>
            </w:pPr>
            <w:bookmarkStart w:id="3" w:name="_Toc56757682"/>
            <w:r w:rsidRPr="00C042BF">
              <w:rPr>
                <w:b/>
                <w:color w:val="auto"/>
              </w:rPr>
              <w:t xml:space="preserve">INDICATOR REF: </w:t>
            </w:r>
            <w:r w:rsidR="007D3ED6" w:rsidRPr="00C042BF">
              <w:rPr>
                <w:b/>
                <w:color w:val="auto"/>
              </w:rPr>
              <w:t>CHN6 - Percentage</w:t>
            </w:r>
            <w:r w:rsidRPr="00C042BF">
              <w:rPr>
                <w:b/>
                <w:color w:val="auto"/>
              </w:rPr>
              <w:t xml:space="preserve"> </w:t>
            </w:r>
            <w:r w:rsidR="00A90851" w:rsidRPr="00C042BF">
              <w:rPr>
                <w:b/>
                <w:color w:val="auto"/>
              </w:rPr>
              <w:t>of pupils living in the 20% most deprived areas gaining 5+ awards at level 5 (SIMD)</w:t>
            </w:r>
            <w:bookmarkEnd w:id="3"/>
            <w:r w:rsidR="00E10B0A" w:rsidRPr="00C042BF">
              <w:rPr>
                <w:b/>
                <w:color w:val="auto"/>
              </w:rPr>
              <w:t xml:space="preserve"> </w:t>
            </w:r>
          </w:p>
        </w:tc>
      </w:tr>
      <w:tr w:rsidR="003E452D" w14:paraId="51C1F7BB" w14:textId="77777777" w:rsidTr="00C0047B">
        <w:trPr>
          <w:trHeight w:val="45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6FEF7E02" w14:textId="28507CEE" w:rsidR="003E452D" w:rsidRPr="00E56A30" w:rsidRDefault="003E452D" w:rsidP="00362ABA">
            <w:pPr>
              <w:spacing w:after="0" w:line="240" w:lineRule="auto"/>
              <w:jc w:val="center"/>
              <w:rPr>
                <w:b/>
                <w:color w:val="0070C0"/>
                <w:sz w:val="28"/>
                <w:szCs w:val="28"/>
              </w:rPr>
            </w:pPr>
            <w:r w:rsidRPr="00C577BD">
              <w:rPr>
                <w:b/>
                <w:color w:val="0070C0"/>
                <w:sz w:val="28"/>
                <w:szCs w:val="28"/>
              </w:rPr>
              <w:t>Performance Range:</w:t>
            </w:r>
            <w:r w:rsidR="00E56A30" w:rsidRPr="005A6C7B">
              <w:rPr>
                <w:b/>
                <w:color w:val="0070C0"/>
                <w:sz w:val="28"/>
                <w:szCs w:val="28"/>
              </w:rPr>
              <w:t xml:space="preserve"> </w:t>
            </w:r>
            <w:r w:rsidR="00780F1F">
              <w:rPr>
                <w:b/>
                <w:color w:val="0070C0"/>
                <w:sz w:val="28"/>
                <w:szCs w:val="28"/>
              </w:rPr>
              <w:t>27</w:t>
            </w:r>
            <w:r w:rsidR="00E56A30">
              <w:rPr>
                <w:b/>
                <w:color w:val="0070C0"/>
                <w:sz w:val="28"/>
                <w:szCs w:val="28"/>
              </w:rPr>
              <w:t xml:space="preserve">% to </w:t>
            </w:r>
            <w:r w:rsidR="00780F1F">
              <w:rPr>
                <w:b/>
                <w:color w:val="0070C0"/>
                <w:sz w:val="28"/>
                <w:szCs w:val="28"/>
              </w:rPr>
              <w:t>71</w:t>
            </w:r>
            <w:r w:rsidR="00E56A30">
              <w:rPr>
                <w:b/>
                <w:color w:val="0070C0"/>
                <w:sz w:val="28"/>
                <w:szCs w:val="28"/>
              </w:rPr>
              <w:t>%</w:t>
            </w:r>
            <w:r w:rsidR="005E2139">
              <w:rPr>
                <w:b/>
                <w:color w:val="0070C0"/>
                <w:sz w:val="28"/>
                <w:szCs w:val="28"/>
              </w:rPr>
              <w:t xml:space="preserve">  </w:t>
            </w:r>
            <w:r w:rsidR="005E2139" w:rsidRPr="005E2139">
              <w:rPr>
                <w:b/>
                <w:color w:val="0070C0"/>
                <w:sz w:val="28"/>
                <w:szCs w:val="28"/>
              </w:rPr>
              <w:t>(Highest is best)</w:t>
            </w:r>
          </w:p>
        </w:tc>
      </w:tr>
      <w:tr w:rsidR="0087095F" w14:paraId="22B5D0A5" w14:textId="77777777" w:rsidTr="00C0047B">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9499515" w14:textId="77777777" w:rsidR="0087095F" w:rsidRDefault="0087095F" w:rsidP="009A329B">
            <w:pPr>
              <w:spacing w:after="0" w:line="240" w:lineRule="auto"/>
              <w:jc w:val="center"/>
              <w:rPr>
                <w:b/>
                <w:sz w:val="28"/>
                <w:szCs w:val="28"/>
              </w:rPr>
            </w:pPr>
            <w:r>
              <w:rPr>
                <w:b/>
                <w:sz w:val="28"/>
                <w:szCs w:val="28"/>
              </w:rPr>
              <w:t>ARGYLL AND BUTE</w:t>
            </w:r>
          </w:p>
        </w:tc>
        <w:tc>
          <w:tcPr>
            <w:tcW w:w="780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6E8F96E" w14:textId="77777777" w:rsidR="0087095F" w:rsidRDefault="0087095F" w:rsidP="009A329B">
            <w:pPr>
              <w:spacing w:after="0" w:line="240" w:lineRule="auto"/>
              <w:jc w:val="center"/>
              <w:rPr>
                <w:b/>
                <w:sz w:val="28"/>
                <w:szCs w:val="28"/>
              </w:rPr>
            </w:pPr>
            <w:r>
              <w:rPr>
                <w:b/>
                <w:sz w:val="28"/>
                <w:szCs w:val="28"/>
              </w:rPr>
              <w:t>SCOTLAND</w:t>
            </w:r>
          </w:p>
        </w:tc>
      </w:tr>
      <w:tr w:rsidR="0087095F" w14:paraId="4E61C96B" w14:textId="77777777" w:rsidTr="00C0047B">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vAlign w:val="center"/>
          </w:tcPr>
          <w:p w14:paraId="3412220F" w14:textId="0CD8A119" w:rsidR="0087095F" w:rsidRPr="00C15C1F" w:rsidRDefault="00780F1F" w:rsidP="009A329B">
            <w:pPr>
              <w:spacing w:after="0" w:line="240" w:lineRule="auto"/>
              <w:jc w:val="center"/>
              <w:rPr>
                <w:b/>
                <w:sz w:val="28"/>
                <w:szCs w:val="28"/>
              </w:rPr>
            </w:pPr>
            <w:r>
              <w:rPr>
                <w:b/>
                <w:sz w:val="28"/>
                <w:szCs w:val="28"/>
              </w:rPr>
              <w:t>50</w:t>
            </w:r>
            <w:r w:rsidR="00362ABA">
              <w:rPr>
                <w:b/>
                <w:sz w:val="28"/>
                <w:szCs w:val="28"/>
              </w:rPr>
              <w:t>%</w:t>
            </w:r>
            <w:r w:rsidR="00DD0A5D">
              <w:rPr>
                <w:b/>
                <w:sz w:val="28"/>
                <w:szCs w:val="28"/>
              </w:rPr>
              <w:t xml:space="preserve"> </w:t>
            </w:r>
          </w:p>
        </w:tc>
        <w:tc>
          <w:tcPr>
            <w:tcW w:w="7801" w:type="dxa"/>
            <w:gridSpan w:val="2"/>
            <w:tcBorders>
              <w:top w:val="single" w:sz="4" w:space="0" w:color="auto"/>
              <w:left w:val="single" w:sz="4" w:space="0" w:color="auto"/>
              <w:bottom w:val="single" w:sz="4" w:space="0" w:color="auto"/>
              <w:right w:val="single" w:sz="4" w:space="0" w:color="auto"/>
            </w:tcBorders>
            <w:vAlign w:val="center"/>
          </w:tcPr>
          <w:p w14:paraId="36B1644E" w14:textId="6DA8F88C" w:rsidR="0087095F" w:rsidRPr="000A1E11" w:rsidRDefault="00780F1F" w:rsidP="009A329B">
            <w:pPr>
              <w:spacing w:after="0" w:line="240" w:lineRule="auto"/>
              <w:jc w:val="center"/>
              <w:rPr>
                <w:b/>
                <w:sz w:val="28"/>
                <w:szCs w:val="28"/>
              </w:rPr>
            </w:pPr>
            <w:r>
              <w:rPr>
                <w:b/>
                <w:sz w:val="28"/>
                <w:szCs w:val="28"/>
              </w:rPr>
              <w:t>44</w:t>
            </w:r>
            <w:r w:rsidR="00362ABA">
              <w:rPr>
                <w:b/>
                <w:sz w:val="28"/>
                <w:szCs w:val="28"/>
              </w:rPr>
              <w:t>%</w:t>
            </w:r>
            <w:r w:rsidR="00DD0A5D">
              <w:rPr>
                <w:b/>
                <w:sz w:val="28"/>
                <w:szCs w:val="28"/>
              </w:rPr>
              <w:t xml:space="preserve"> </w:t>
            </w:r>
          </w:p>
        </w:tc>
      </w:tr>
      <w:tr w:rsidR="00107922" w14:paraId="66122B86" w14:textId="77777777" w:rsidTr="00C0047B">
        <w:trPr>
          <w:trHeight w:val="397"/>
          <w:jc w:val="center"/>
        </w:trPr>
        <w:tc>
          <w:tcPr>
            <w:tcW w:w="5382" w:type="dxa"/>
            <w:tcBorders>
              <w:top w:val="single" w:sz="4" w:space="0" w:color="auto"/>
              <w:left w:val="single" w:sz="4" w:space="0" w:color="auto"/>
              <w:bottom w:val="single" w:sz="4" w:space="0" w:color="auto"/>
              <w:right w:val="single" w:sz="4" w:space="0" w:color="auto"/>
            </w:tcBorders>
            <w:vAlign w:val="center"/>
          </w:tcPr>
          <w:p w14:paraId="1878F9D8" w14:textId="5C733D12" w:rsidR="00107922" w:rsidRPr="00C15C1F" w:rsidRDefault="00107922" w:rsidP="00362ABA">
            <w:pPr>
              <w:spacing w:after="0" w:line="240" w:lineRule="auto"/>
              <w:jc w:val="center"/>
              <w:rPr>
                <w:b/>
                <w:sz w:val="28"/>
                <w:szCs w:val="28"/>
              </w:rPr>
            </w:pPr>
            <w:r w:rsidRPr="00C15C1F">
              <w:rPr>
                <w:b/>
                <w:sz w:val="28"/>
                <w:szCs w:val="28"/>
              </w:rPr>
              <w:t>CHANGE 201</w:t>
            </w:r>
            <w:r w:rsidR="00362ABA">
              <w:rPr>
                <w:b/>
                <w:sz w:val="28"/>
                <w:szCs w:val="28"/>
              </w:rPr>
              <w:t>7</w:t>
            </w:r>
            <w:r w:rsidRPr="00C15C1F">
              <w:rPr>
                <w:b/>
                <w:sz w:val="28"/>
                <w:szCs w:val="28"/>
              </w:rPr>
              <w:t>/1</w:t>
            </w:r>
            <w:r w:rsidR="00362ABA">
              <w:rPr>
                <w:b/>
                <w:sz w:val="28"/>
                <w:szCs w:val="28"/>
              </w:rPr>
              <w:t>8</w:t>
            </w:r>
            <w:r w:rsidRPr="00C15C1F">
              <w:rPr>
                <w:b/>
                <w:sz w:val="28"/>
                <w:szCs w:val="28"/>
              </w:rPr>
              <w:t xml:space="preserve"> TO </w:t>
            </w:r>
            <w:r>
              <w:rPr>
                <w:b/>
                <w:sz w:val="28"/>
                <w:szCs w:val="28"/>
              </w:rPr>
              <w:t>201</w:t>
            </w:r>
            <w:r w:rsidR="00362ABA">
              <w:rPr>
                <w:b/>
                <w:sz w:val="28"/>
                <w:szCs w:val="28"/>
              </w:rPr>
              <w:t>8</w:t>
            </w:r>
            <w:r>
              <w:rPr>
                <w:b/>
                <w:sz w:val="28"/>
                <w:szCs w:val="28"/>
              </w:rPr>
              <w:t>/1</w:t>
            </w:r>
            <w:r w:rsidR="00362ABA">
              <w:rPr>
                <w:b/>
                <w:sz w:val="28"/>
                <w:szCs w:val="28"/>
              </w:rPr>
              <w:t>9</w:t>
            </w:r>
          </w:p>
        </w:tc>
        <w:tc>
          <w:tcPr>
            <w:tcW w:w="2126" w:type="dxa"/>
            <w:tcBorders>
              <w:top w:val="single" w:sz="4" w:space="0" w:color="auto"/>
              <w:left w:val="single" w:sz="4" w:space="0" w:color="auto"/>
              <w:bottom w:val="single" w:sz="4" w:space="0" w:color="auto"/>
              <w:right w:val="single" w:sz="4" w:space="0" w:color="auto"/>
            </w:tcBorders>
            <w:vAlign w:val="center"/>
          </w:tcPr>
          <w:p w14:paraId="7415A37D" w14:textId="27D01C8D" w:rsidR="00107922" w:rsidRPr="00C15C1F" w:rsidRDefault="0067121D" w:rsidP="00DD0A5D">
            <w:pPr>
              <w:spacing w:after="0" w:line="240" w:lineRule="auto"/>
              <w:jc w:val="center"/>
              <w:rPr>
                <w:b/>
                <w:sz w:val="28"/>
                <w:szCs w:val="28"/>
              </w:rPr>
            </w:pPr>
            <w:r>
              <w:rPr>
                <w:b/>
                <w:sz w:val="28"/>
                <w:szCs w:val="28"/>
              </w:rPr>
              <w:t>-4</w:t>
            </w:r>
            <w:r w:rsidR="00DD0A5D">
              <w:rPr>
                <w:b/>
                <w:sz w:val="28"/>
                <w:szCs w:val="28"/>
              </w:rPr>
              <w:t xml:space="preserve"> </w:t>
            </w:r>
            <w:r w:rsidRPr="00C14931">
              <w:rPr>
                <w:b/>
                <w:color w:val="FF0000"/>
                <w:sz w:val="28"/>
                <w:szCs w:val="28"/>
              </w:rPr>
              <w:sym w:font="Wingdings" w:char="F0EA"/>
            </w:r>
          </w:p>
        </w:tc>
        <w:tc>
          <w:tcPr>
            <w:tcW w:w="5812" w:type="dxa"/>
            <w:tcBorders>
              <w:top w:val="single" w:sz="4" w:space="0" w:color="auto"/>
              <w:left w:val="single" w:sz="4" w:space="0" w:color="auto"/>
              <w:bottom w:val="single" w:sz="4" w:space="0" w:color="auto"/>
              <w:right w:val="single" w:sz="4" w:space="0" w:color="auto"/>
            </w:tcBorders>
            <w:vAlign w:val="center"/>
          </w:tcPr>
          <w:p w14:paraId="7D2DF24F" w14:textId="013AF565" w:rsidR="00107922" w:rsidRPr="00561760" w:rsidRDefault="00107922" w:rsidP="00362ABA">
            <w:pPr>
              <w:spacing w:after="0" w:line="240" w:lineRule="auto"/>
              <w:jc w:val="center"/>
              <w:rPr>
                <w:sz w:val="28"/>
                <w:szCs w:val="28"/>
              </w:rPr>
            </w:pPr>
            <w:r>
              <w:rPr>
                <w:sz w:val="28"/>
                <w:szCs w:val="28"/>
              </w:rPr>
              <w:t>CHANGE 201</w:t>
            </w:r>
            <w:r w:rsidR="00362ABA">
              <w:rPr>
                <w:sz w:val="28"/>
                <w:szCs w:val="28"/>
              </w:rPr>
              <w:t>7</w:t>
            </w:r>
            <w:r>
              <w:rPr>
                <w:sz w:val="28"/>
                <w:szCs w:val="28"/>
              </w:rPr>
              <w:t>/1</w:t>
            </w:r>
            <w:r w:rsidR="00362ABA">
              <w:rPr>
                <w:sz w:val="28"/>
                <w:szCs w:val="28"/>
              </w:rPr>
              <w:t>8</w:t>
            </w:r>
            <w:r>
              <w:rPr>
                <w:sz w:val="28"/>
                <w:szCs w:val="28"/>
              </w:rPr>
              <w:t xml:space="preserve"> TO 201</w:t>
            </w:r>
            <w:r w:rsidR="00362ABA">
              <w:rPr>
                <w:sz w:val="28"/>
                <w:szCs w:val="28"/>
              </w:rPr>
              <w:t>8</w:t>
            </w:r>
            <w:r>
              <w:rPr>
                <w:sz w:val="28"/>
                <w:szCs w:val="28"/>
              </w:rPr>
              <w:t>/1</w:t>
            </w:r>
            <w:r w:rsidR="00362ABA">
              <w:rPr>
                <w:sz w:val="28"/>
                <w:szCs w:val="28"/>
              </w:rPr>
              <w:t>9</w:t>
            </w:r>
          </w:p>
        </w:tc>
        <w:tc>
          <w:tcPr>
            <w:tcW w:w="1989" w:type="dxa"/>
            <w:tcBorders>
              <w:top w:val="single" w:sz="4" w:space="0" w:color="auto"/>
              <w:left w:val="single" w:sz="4" w:space="0" w:color="auto"/>
              <w:bottom w:val="single" w:sz="4" w:space="0" w:color="auto"/>
              <w:right w:val="single" w:sz="4" w:space="0" w:color="auto"/>
            </w:tcBorders>
            <w:vAlign w:val="center"/>
          </w:tcPr>
          <w:p w14:paraId="66B5C34C" w14:textId="7B20671D" w:rsidR="00107922" w:rsidRPr="00780F1F" w:rsidRDefault="0067121D" w:rsidP="009A329B">
            <w:pPr>
              <w:spacing w:after="0" w:line="240" w:lineRule="auto"/>
              <w:jc w:val="center"/>
              <w:rPr>
                <w:b/>
                <w:sz w:val="28"/>
                <w:szCs w:val="28"/>
                <w:highlight w:val="yellow"/>
              </w:rPr>
            </w:pPr>
            <w:r>
              <w:rPr>
                <w:sz w:val="28"/>
                <w:szCs w:val="28"/>
              </w:rPr>
              <w:t>2</w:t>
            </w:r>
            <w:r w:rsidR="00DD0A5D">
              <w:rPr>
                <w:sz w:val="28"/>
                <w:szCs w:val="28"/>
              </w:rPr>
              <w:t xml:space="preserve"> </w:t>
            </w:r>
            <w:r w:rsidR="00DD0A5D" w:rsidRPr="00EC5E64">
              <w:rPr>
                <w:b/>
                <w:color w:val="00B050"/>
                <w:sz w:val="28"/>
                <w:szCs w:val="28"/>
              </w:rPr>
              <w:sym w:font="Wingdings" w:char="F0E9"/>
            </w:r>
          </w:p>
        </w:tc>
      </w:tr>
      <w:tr w:rsidR="00107922" w14:paraId="574FE227" w14:textId="77777777" w:rsidTr="005945EB">
        <w:trPr>
          <w:trHeight w:val="397"/>
          <w:jc w:val="center"/>
        </w:trPr>
        <w:tc>
          <w:tcPr>
            <w:tcW w:w="5382" w:type="dxa"/>
            <w:tcBorders>
              <w:top w:val="single" w:sz="4" w:space="0" w:color="auto"/>
              <w:left w:val="single" w:sz="4" w:space="0" w:color="auto"/>
              <w:bottom w:val="single" w:sz="4" w:space="0" w:color="auto"/>
              <w:right w:val="single" w:sz="4" w:space="0" w:color="auto"/>
            </w:tcBorders>
            <w:vAlign w:val="center"/>
          </w:tcPr>
          <w:p w14:paraId="621CA99D" w14:textId="4BFAD61F" w:rsidR="00107922" w:rsidRPr="00C15C1F" w:rsidRDefault="00107922" w:rsidP="00362ABA">
            <w:pPr>
              <w:spacing w:after="0" w:line="240" w:lineRule="auto"/>
              <w:jc w:val="center"/>
              <w:rPr>
                <w:b/>
                <w:sz w:val="28"/>
                <w:szCs w:val="28"/>
              </w:rPr>
            </w:pPr>
            <w:r>
              <w:rPr>
                <w:b/>
                <w:sz w:val="28"/>
                <w:szCs w:val="28"/>
              </w:rPr>
              <w:t>CHANGE BASE YEAR TO 201</w:t>
            </w:r>
            <w:r w:rsidR="00362ABA">
              <w:rPr>
                <w:b/>
                <w:sz w:val="28"/>
                <w:szCs w:val="28"/>
              </w:rPr>
              <w:t>8</w:t>
            </w:r>
            <w:r>
              <w:rPr>
                <w:b/>
                <w:sz w:val="28"/>
                <w:szCs w:val="28"/>
              </w:rPr>
              <w:t>/1</w:t>
            </w:r>
            <w:r w:rsidR="00362ABA">
              <w:rPr>
                <w:b/>
                <w:sz w:val="28"/>
                <w:szCs w:val="28"/>
              </w:rPr>
              <w:t>9</w:t>
            </w:r>
          </w:p>
        </w:tc>
        <w:tc>
          <w:tcPr>
            <w:tcW w:w="2126" w:type="dxa"/>
            <w:tcBorders>
              <w:top w:val="single" w:sz="4" w:space="0" w:color="auto"/>
              <w:left w:val="single" w:sz="4" w:space="0" w:color="auto"/>
              <w:bottom w:val="single" w:sz="4" w:space="0" w:color="auto"/>
              <w:right w:val="single" w:sz="4" w:space="0" w:color="auto"/>
            </w:tcBorders>
            <w:vAlign w:val="center"/>
          </w:tcPr>
          <w:p w14:paraId="00A3E87F" w14:textId="4851B54F" w:rsidR="00107922" w:rsidRPr="00C15C1F" w:rsidRDefault="0067121D" w:rsidP="00DD0A5D">
            <w:pPr>
              <w:spacing w:after="0" w:line="240" w:lineRule="auto"/>
              <w:jc w:val="center"/>
              <w:rPr>
                <w:b/>
                <w:sz w:val="28"/>
                <w:szCs w:val="28"/>
              </w:rPr>
            </w:pPr>
            <w:r>
              <w:rPr>
                <w:b/>
                <w:sz w:val="28"/>
                <w:szCs w:val="28"/>
              </w:rPr>
              <w:t>20</w:t>
            </w:r>
            <w:r w:rsidR="00DD0A5D">
              <w:rPr>
                <w:b/>
                <w:sz w:val="28"/>
                <w:szCs w:val="28"/>
              </w:rPr>
              <w:t xml:space="preserve"> </w:t>
            </w:r>
            <w:r w:rsidR="00DD0A5D" w:rsidRPr="00EC5E64">
              <w:rPr>
                <w:b/>
                <w:color w:val="00B050"/>
                <w:sz w:val="28"/>
                <w:szCs w:val="28"/>
              </w:rPr>
              <w:sym w:font="Wingdings" w:char="F0E9"/>
            </w:r>
          </w:p>
        </w:tc>
        <w:tc>
          <w:tcPr>
            <w:tcW w:w="5812" w:type="dxa"/>
            <w:tcBorders>
              <w:top w:val="single" w:sz="4" w:space="0" w:color="auto"/>
              <w:left w:val="single" w:sz="4" w:space="0" w:color="auto"/>
              <w:bottom w:val="single" w:sz="4" w:space="0" w:color="auto"/>
              <w:right w:val="single" w:sz="4" w:space="0" w:color="auto"/>
            </w:tcBorders>
            <w:vAlign w:val="center"/>
          </w:tcPr>
          <w:p w14:paraId="2B1AF84D" w14:textId="4DE4C555" w:rsidR="00107922" w:rsidRPr="00561760" w:rsidRDefault="00107922" w:rsidP="00362ABA">
            <w:pPr>
              <w:spacing w:after="0" w:line="240" w:lineRule="auto"/>
              <w:jc w:val="center"/>
              <w:rPr>
                <w:sz w:val="28"/>
                <w:szCs w:val="28"/>
              </w:rPr>
            </w:pPr>
            <w:r>
              <w:rPr>
                <w:sz w:val="28"/>
                <w:szCs w:val="28"/>
              </w:rPr>
              <w:t>CHANGE BASE YEAR TO 201</w:t>
            </w:r>
            <w:r w:rsidR="00362ABA">
              <w:rPr>
                <w:sz w:val="28"/>
                <w:szCs w:val="28"/>
              </w:rPr>
              <w:t>8</w:t>
            </w:r>
            <w:r>
              <w:rPr>
                <w:sz w:val="28"/>
                <w:szCs w:val="28"/>
              </w:rPr>
              <w:t>/1</w:t>
            </w:r>
            <w:r w:rsidR="00362ABA">
              <w:rPr>
                <w:sz w:val="28"/>
                <w:szCs w:val="28"/>
              </w:rPr>
              <w:t>9</w:t>
            </w:r>
          </w:p>
        </w:tc>
        <w:tc>
          <w:tcPr>
            <w:tcW w:w="1989" w:type="dxa"/>
            <w:tcBorders>
              <w:top w:val="single" w:sz="4" w:space="0" w:color="auto"/>
              <w:left w:val="single" w:sz="4" w:space="0" w:color="auto"/>
              <w:bottom w:val="single" w:sz="4" w:space="0" w:color="auto"/>
              <w:right w:val="single" w:sz="4" w:space="0" w:color="auto"/>
            </w:tcBorders>
            <w:vAlign w:val="center"/>
          </w:tcPr>
          <w:p w14:paraId="44B4633D" w14:textId="742A6507" w:rsidR="00107922" w:rsidRPr="00DD0A5D" w:rsidRDefault="0067121D" w:rsidP="009A329B">
            <w:pPr>
              <w:spacing w:after="0" w:line="240" w:lineRule="auto"/>
              <w:jc w:val="center"/>
              <w:rPr>
                <w:sz w:val="28"/>
                <w:szCs w:val="28"/>
                <w:highlight w:val="yellow"/>
              </w:rPr>
            </w:pPr>
            <w:r>
              <w:rPr>
                <w:sz w:val="28"/>
                <w:szCs w:val="28"/>
              </w:rPr>
              <w:t>15</w:t>
            </w:r>
            <w:r w:rsidR="00DD0A5D">
              <w:rPr>
                <w:sz w:val="28"/>
                <w:szCs w:val="28"/>
              </w:rPr>
              <w:t xml:space="preserve"> </w:t>
            </w:r>
            <w:r w:rsidR="00DD0A5D" w:rsidRPr="00EC5E64">
              <w:rPr>
                <w:b/>
                <w:color w:val="00B050"/>
                <w:sz w:val="28"/>
                <w:szCs w:val="28"/>
              </w:rPr>
              <w:sym w:font="Wingdings" w:char="F0E9"/>
            </w:r>
          </w:p>
        </w:tc>
      </w:tr>
      <w:tr w:rsidR="00107922" w14:paraId="3C8904A9" w14:textId="77777777" w:rsidTr="00B318EA">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vAlign w:val="center"/>
          </w:tcPr>
          <w:p w14:paraId="2EA3E329" w14:textId="3A0F4EE5" w:rsidR="00107922" w:rsidRPr="00C15C1F" w:rsidRDefault="00107922" w:rsidP="00362ABA">
            <w:pPr>
              <w:spacing w:after="0" w:line="240" w:lineRule="auto"/>
              <w:jc w:val="center"/>
              <w:rPr>
                <w:b/>
                <w:sz w:val="28"/>
                <w:szCs w:val="28"/>
              </w:rPr>
            </w:pPr>
            <w:r w:rsidRPr="00C15C1F">
              <w:rPr>
                <w:b/>
                <w:sz w:val="28"/>
                <w:szCs w:val="28"/>
              </w:rPr>
              <w:t>RANK POSITION</w:t>
            </w:r>
            <w:r w:rsidRPr="006B5E5B">
              <w:rPr>
                <w:b/>
                <w:sz w:val="28"/>
                <w:szCs w:val="28"/>
              </w:rPr>
              <w:t>:</w:t>
            </w:r>
            <w:r w:rsidR="00513443" w:rsidRPr="006B5E5B">
              <w:rPr>
                <w:b/>
                <w:sz w:val="28"/>
                <w:szCs w:val="28"/>
              </w:rPr>
              <w:t xml:space="preserve">  </w:t>
            </w:r>
            <w:r w:rsidR="00780F1F">
              <w:rPr>
                <w:b/>
                <w:sz w:val="28"/>
                <w:szCs w:val="28"/>
              </w:rPr>
              <w:t>5</w:t>
            </w:r>
            <w:r w:rsidR="00513443" w:rsidRPr="006B5E5B">
              <w:rPr>
                <w:b/>
                <w:sz w:val="28"/>
                <w:szCs w:val="28"/>
              </w:rPr>
              <w:t xml:space="preserve">  </w:t>
            </w:r>
            <w:r w:rsidRPr="006B5E5B">
              <w:rPr>
                <w:b/>
                <w:sz w:val="28"/>
                <w:szCs w:val="28"/>
              </w:rPr>
              <w:t>R</w:t>
            </w:r>
            <w:r w:rsidRPr="00C15C1F">
              <w:rPr>
                <w:b/>
                <w:sz w:val="28"/>
                <w:szCs w:val="28"/>
              </w:rPr>
              <w:t xml:space="preserve">ANK MOVEMENT: </w:t>
            </w:r>
            <w:r w:rsidR="00780F1F">
              <w:rPr>
                <w:b/>
                <w:sz w:val="28"/>
                <w:szCs w:val="28"/>
              </w:rPr>
              <w:t>-2</w:t>
            </w:r>
            <w:r w:rsidR="00DD0A5D">
              <w:rPr>
                <w:b/>
                <w:sz w:val="28"/>
                <w:szCs w:val="28"/>
              </w:rPr>
              <w:t xml:space="preserve"> </w:t>
            </w:r>
            <w:r w:rsidR="00DD0A5D" w:rsidRPr="00C14931">
              <w:rPr>
                <w:b/>
                <w:color w:val="FF0000"/>
                <w:sz w:val="28"/>
                <w:szCs w:val="28"/>
              </w:rPr>
              <w:sym w:font="Wingdings" w:char="F0EA"/>
            </w:r>
          </w:p>
        </w:tc>
        <w:tc>
          <w:tcPr>
            <w:tcW w:w="780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604E726F" w14:textId="77777777" w:rsidR="00107922" w:rsidRPr="00561760" w:rsidRDefault="00107922" w:rsidP="009A329B">
            <w:pPr>
              <w:spacing w:after="0" w:line="240" w:lineRule="auto"/>
              <w:rPr>
                <w:sz w:val="28"/>
                <w:szCs w:val="28"/>
              </w:rPr>
            </w:pPr>
          </w:p>
        </w:tc>
      </w:tr>
      <w:tr w:rsidR="00C042BF" w14:paraId="74A9842A" w14:textId="77777777" w:rsidTr="00B318EA">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F84964B" w14:textId="3AA5B2DD" w:rsidR="00C042BF" w:rsidRDefault="00C042BF" w:rsidP="009A329B">
            <w:pPr>
              <w:spacing w:after="0" w:line="240" w:lineRule="auto"/>
              <w:jc w:val="center"/>
              <w:rPr>
                <w:b/>
                <w:sz w:val="28"/>
                <w:szCs w:val="28"/>
              </w:rPr>
            </w:pPr>
            <w:r>
              <w:rPr>
                <w:b/>
                <w:sz w:val="28"/>
                <w:szCs w:val="28"/>
              </w:rPr>
              <w:t>FAMILY GROUP RANKING 201</w:t>
            </w:r>
            <w:r w:rsidR="00362ABA">
              <w:rPr>
                <w:b/>
                <w:sz w:val="28"/>
                <w:szCs w:val="28"/>
              </w:rPr>
              <w:t>8</w:t>
            </w:r>
            <w:r>
              <w:rPr>
                <w:b/>
                <w:sz w:val="28"/>
                <w:szCs w:val="28"/>
              </w:rPr>
              <w:t>/1</w:t>
            </w:r>
            <w:r w:rsidR="00362ABA">
              <w:rPr>
                <w:b/>
                <w:sz w:val="28"/>
                <w:szCs w:val="28"/>
              </w:rPr>
              <w:t>9</w:t>
            </w:r>
          </w:p>
          <w:p w14:paraId="4C869F5A" w14:textId="4BAC4F19" w:rsidR="00C042BF" w:rsidRPr="00C15C1F" w:rsidRDefault="00C042BF" w:rsidP="00362ABA">
            <w:pPr>
              <w:spacing w:after="0" w:line="240" w:lineRule="auto"/>
              <w:jc w:val="center"/>
              <w:rPr>
                <w:b/>
                <w:sz w:val="28"/>
                <w:szCs w:val="28"/>
              </w:rPr>
            </w:pPr>
            <w:r>
              <w:rPr>
                <w:b/>
                <w:sz w:val="28"/>
                <w:szCs w:val="28"/>
              </w:rPr>
              <w:t>RANK POSITION:</w:t>
            </w:r>
            <w:r w:rsidR="00FD1CF1">
              <w:rPr>
                <w:b/>
                <w:sz w:val="28"/>
                <w:szCs w:val="28"/>
              </w:rPr>
              <w:t xml:space="preserve">  </w:t>
            </w:r>
            <w:r w:rsidR="00780F1F">
              <w:rPr>
                <w:b/>
                <w:sz w:val="28"/>
                <w:szCs w:val="28"/>
              </w:rPr>
              <w:t>1</w:t>
            </w:r>
            <w:r w:rsidR="00FD1CF1">
              <w:rPr>
                <w:b/>
                <w:sz w:val="28"/>
                <w:szCs w:val="28"/>
              </w:rPr>
              <w:t xml:space="preserve">  </w:t>
            </w:r>
            <w:r>
              <w:rPr>
                <w:b/>
                <w:sz w:val="28"/>
                <w:szCs w:val="28"/>
              </w:rPr>
              <w:t xml:space="preserve">RANK MOVEMENT: </w:t>
            </w:r>
            <w:r w:rsidR="00780F1F">
              <w:rPr>
                <w:b/>
                <w:sz w:val="28"/>
                <w:szCs w:val="28"/>
              </w:rPr>
              <w:t>0</w:t>
            </w:r>
            <w:r w:rsidR="00DD0A5D">
              <w:rPr>
                <w:b/>
                <w:sz w:val="28"/>
                <w:szCs w:val="28"/>
              </w:rPr>
              <w:t xml:space="preserve"> </w:t>
            </w:r>
            <w:r w:rsidR="00DD0A5D" w:rsidRPr="00A83E3B">
              <w:rPr>
                <w:b/>
                <w:color w:val="0070C0"/>
                <w:sz w:val="28"/>
                <w:szCs w:val="28"/>
              </w:rPr>
              <w:sym w:font="Wingdings" w:char="F0E8"/>
            </w:r>
            <w:r w:rsidR="00DD0A5D">
              <w:rPr>
                <w:b/>
                <w:color w:val="0070C0"/>
                <w:sz w:val="28"/>
                <w:szCs w:val="28"/>
              </w:rPr>
              <w:t xml:space="preserve">     </w:t>
            </w:r>
          </w:p>
        </w:tc>
        <w:tc>
          <w:tcPr>
            <w:tcW w:w="7801"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639C0CF2" w14:textId="77777777" w:rsidR="00C042BF" w:rsidRPr="00561760" w:rsidRDefault="00C042BF" w:rsidP="009A329B">
            <w:pPr>
              <w:spacing w:after="0" w:line="240" w:lineRule="auto"/>
              <w:rPr>
                <w:sz w:val="28"/>
                <w:szCs w:val="28"/>
              </w:rPr>
            </w:pPr>
          </w:p>
        </w:tc>
      </w:tr>
      <w:tr w:rsidR="00107922" w14:paraId="6E367563" w14:textId="77777777" w:rsidTr="00AA258A">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264040D0" w14:textId="7B85A04A" w:rsidR="00C0047B" w:rsidRPr="00C0047B" w:rsidRDefault="00C0047B" w:rsidP="009A329B">
            <w:pPr>
              <w:spacing w:after="0" w:line="240" w:lineRule="auto"/>
              <w:rPr>
                <w:sz w:val="6"/>
                <w:szCs w:val="6"/>
              </w:rPr>
            </w:pPr>
          </w:p>
          <w:p w14:paraId="0A03214A" w14:textId="45DA6E84" w:rsidR="00107922" w:rsidRDefault="00107922" w:rsidP="000F4CDF">
            <w:pPr>
              <w:spacing w:after="120" w:line="240" w:lineRule="auto"/>
              <w:rPr>
                <w:rFonts w:ascii="Arial" w:hAnsi="Arial" w:cs="Arial"/>
                <w:b/>
                <w:szCs w:val="28"/>
              </w:rPr>
            </w:pPr>
            <w:r>
              <w:rPr>
                <w:b/>
                <w:sz w:val="28"/>
                <w:szCs w:val="28"/>
              </w:rPr>
              <w:t>TELLING OUR STORY</w:t>
            </w:r>
            <w:r w:rsidRPr="00F16CDA">
              <w:rPr>
                <w:b/>
                <w:sz w:val="28"/>
                <w:szCs w:val="28"/>
              </w:rPr>
              <w:t>:</w:t>
            </w:r>
          </w:p>
          <w:p w14:paraId="7B77E0B5" w14:textId="441A86EE" w:rsidR="00A2613D" w:rsidRDefault="00E22B2A" w:rsidP="000F4CDF">
            <w:pPr>
              <w:spacing w:after="120" w:line="240" w:lineRule="auto"/>
              <w:rPr>
                <w:rFonts w:cstheme="minorHAnsi"/>
                <w:sz w:val="24"/>
                <w:szCs w:val="24"/>
              </w:rPr>
            </w:pPr>
            <w:r w:rsidRPr="001453C3">
              <w:rPr>
                <w:rFonts w:cstheme="minorHAnsi"/>
                <w:sz w:val="24"/>
                <w:szCs w:val="24"/>
              </w:rPr>
              <w:t>Although there was a drop in performance between 2017/8 and 2018/</w:t>
            </w:r>
            <w:r w:rsidR="005C64FC">
              <w:rPr>
                <w:rFonts w:cstheme="minorHAnsi"/>
                <w:sz w:val="24"/>
                <w:szCs w:val="24"/>
              </w:rPr>
              <w:t>1</w:t>
            </w:r>
            <w:r w:rsidRPr="001453C3">
              <w:rPr>
                <w:rFonts w:cstheme="minorHAnsi"/>
                <w:sz w:val="24"/>
                <w:szCs w:val="24"/>
              </w:rPr>
              <w:t xml:space="preserve">9 of 4 percentage points, this should be seen in the context of an 11 point improvement between 2016/7 and 2017/8. </w:t>
            </w:r>
          </w:p>
          <w:p w14:paraId="21542AC9" w14:textId="48B72ABB" w:rsidR="00A2613D" w:rsidRPr="001453C3" w:rsidRDefault="00E22B2A" w:rsidP="000F4CDF">
            <w:pPr>
              <w:spacing w:after="120" w:line="240" w:lineRule="auto"/>
              <w:rPr>
                <w:rFonts w:cstheme="minorHAnsi"/>
                <w:sz w:val="24"/>
                <w:szCs w:val="24"/>
              </w:rPr>
            </w:pPr>
            <w:r w:rsidRPr="001453C3">
              <w:rPr>
                <w:rFonts w:cstheme="minorHAnsi"/>
                <w:sz w:val="24"/>
                <w:szCs w:val="24"/>
              </w:rPr>
              <w:t>The 50% figure for Argyll and Bute (2018/</w:t>
            </w:r>
            <w:r w:rsidR="005C64FC">
              <w:rPr>
                <w:rFonts w:cstheme="minorHAnsi"/>
                <w:sz w:val="24"/>
                <w:szCs w:val="24"/>
              </w:rPr>
              <w:t>1</w:t>
            </w:r>
            <w:bookmarkStart w:id="4" w:name="_GoBack"/>
            <w:bookmarkEnd w:id="4"/>
            <w:r w:rsidRPr="001453C3">
              <w:rPr>
                <w:rFonts w:cstheme="minorHAnsi"/>
                <w:sz w:val="24"/>
                <w:szCs w:val="24"/>
              </w:rPr>
              <w:t>9) is the second highest annual figure since the LGBF began, in 2011/2.</w:t>
            </w:r>
            <w:r w:rsidR="00A2613D">
              <w:rPr>
                <w:rFonts w:cstheme="minorHAnsi"/>
                <w:sz w:val="24"/>
                <w:szCs w:val="24"/>
              </w:rPr>
              <w:t xml:space="preserve"> Performance also continues to be above the National average.</w:t>
            </w:r>
          </w:p>
          <w:p w14:paraId="1A55F220" w14:textId="77777777" w:rsidR="009272FC" w:rsidRPr="009272FC" w:rsidRDefault="009272FC" w:rsidP="00362ABA">
            <w:pPr>
              <w:spacing w:after="0" w:line="240" w:lineRule="auto"/>
              <w:rPr>
                <w:rFonts w:ascii="Arial" w:hAnsi="Arial" w:cs="Arial"/>
                <w:szCs w:val="24"/>
              </w:rPr>
            </w:pPr>
          </w:p>
        </w:tc>
      </w:tr>
      <w:tr w:rsidR="00107922" w14:paraId="4CB1D736" w14:textId="77777777" w:rsidTr="00AA258A">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3A4246E9" w14:textId="77777777" w:rsidR="00C0047B" w:rsidRPr="00C0047B" w:rsidRDefault="00C0047B" w:rsidP="009A329B">
            <w:pPr>
              <w:spacing w:after="0" w:line="240" w:lineRule="auto"/>
              <w:rPr>
                <w:sz w:val="6"/>
                <w:szCs w:val="6"/>
              </w:rPr>
            </w:pPr>
          </w:p>
          <w:p w14:paraId="1BA71A82" w14:textId="77777777" w:rsidR="00107922" w:rsidRDefault="00232953" w:rsidP="000F4CDF">
            <w:pPr>
              <w:spacing w:after="120" w:line="240" w:lineRule="auto"/>
              <w:rPr>
                <w:b/>
                <w:sz w:val="28"/>
                <w:szCs w:val="28"/>
              </w:rPr>
            </w:pPr>
            <w:r>
              <w:rPr>
                <w:b/>
                <w:sz w:val="28"/>
                <w:szCs w:val="28"/>
              </w:rPr>
              <w:t>LOOKING FORWARD - EXPECTED IMPACT ON INDICATOR</w:t>
            </w:r>
            <w:r w:rsidR="00107922">
              <w:rPr>
                <w:b/>
                <w:sz w:val="28"/>
                <w:szCs w:val="28"/>
              </w:rPr>
              <w:t>:</w:t>
            </w:r>
          </w:p>
          <w:p w14:paraId="57DC8B0A" w14:textId="77777777" w:rsidR="00A2613D" w:rsidRPr="006805F1" w:rsidRDefault="00A2613D" w:rsidP="000F4CDF">
            <w:pPr>
              <w:pStyle w:val="Default"/>
              <w:spacing w:after="120"/>
              <w:rPr>
                <w:rFonts w:asciiTheme="minorHAnsi" w:hAnsiTheme="minorHAnsi" w:cstheme="minorHAnsi"/>
              </w:rPr>
            </w:pPr>
            <w:r w:rsidRPr="006805F1">
              <w:rPr>
                <w:rFonts w:asciiTheme="minorHAnsi" w:hAnsiTheme="minorHAnsi" w:cstheme="minorHAnsi"/>
              </w:rPr>
              <w:t>Our schools and central education team will maintain a focus on closing the attainment gap and sustaining improvements supported by Pupil Equity Funding to ensure that all children and young people are supported to attain and achieve at their target level.</w:t>
            </w:r>
          </w:p>
          <w:p w14:paraId="3AE05F39" w14:textId="77777777" w:rsidR="009272FC" w:rsidRPr="00C0047B" w:rsidRDefault="009272FC" w:rsidP="00362ABA">
            <w:pPr>
              <w:spacing w:after="0" w:line="240" w:lineRule="auto"/>
              <w:rPr>
                <w:rFonts w:ascii="Arial" w:hAnsi="Arial" w:cs="Arial"/>
                <w:szCs w:val="28"/>
              </w:rPr>
            </w:pPr>
          </w:p>
        </w:tc>
      </w:tr>
    </w:tbl>
    <w:p w14:paraId="35073AA2" w14:textId="37CCA071" w:rsidR="00800A1F" w:rsidRDefault="00362ABA">
      <w:r>
        <w:br w:type="page"/>
      </w:r>
    </w:p>
    <w:tbl>
      <w:tblPr>
        <w:tblW w:w="15309" w:type="dxa"/>
        <w:jc w:val="center"/>
        <w:tblLook w:val="04A0" w:firstRow="1" w:lastRow="0" w:firstColumn="1" w:lastColumn="0" w:noHBand="0" w:noVBand="1"/>
      </w:tblPr>
      <w:tblGrid>
        <w:gridCol w:w="5665"/>
        <w:gridCol w:w="1843"/>
        <w:gridCol w:w="6095"/>
        <w:gridCol w:w="1706"/>
      </w:tblGrid>
      <w:tr w:rsidR="00A376C3" w:rsidRPr="005D65E6" w14:paraId="7C5A5D02" w14:textId="77777777" w:rsidTr="00A376C3">
        <w:trPr>
          <w:trHeight w:val="79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57B95763" w14:textId="77777777" w:rsidR="00A376C3" w:rsidRPr="005D65E6" w:rsidRDefault="00A376C3" w:rsidP="005D65E6">
            <w:pPr>
              <w:rPr>
                <w:b/>
                <w:sz w:val="32"/>
                <w:szCs w:val="32"/>
              </w:rPr>
            </w:pPr>
            <w:r w:rsidRPr="005D65E6">
              <w:rPr>
                <w:b/>
                <w:sz w:val="32"/>
                <w:szCs w:val="32"/>
              </w:rPr>
              <w:lastRenderedPageBreak/>
              <w:t>SERVICE: EDUCATION</w:t>
            </w:r>
          </w:p>
        </w:tc>
      </w:tr>
      <w:tr w:rsidR="00727D13" w:rsidRPr="00C042BF" w14:paraId="247BE220" w14:textId="77777777" w:rsidTr="00C0047B">
        <w:trPr>
          <w:trHeight w:val="567"/>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31AF1315" w14:textId="77777777" w:rsidR="00727D13" w:rsidRPr="00C042BF" w:rsidRDefault="00727D13" w:rsidP="009A329B">
            <w:pPr>
              <w:pStyle w:val="Heading1"/>
              <w:spacing w:before="0" w:line="240" w:lineRule="auto"/>
              <w:rPr>
                <w:b/>
                <w:color w:val="auto"/>
              </w:rPr>
            </w:pPr>
            <w:bookmarkStart w:id="5" w:name="_Toc56757683"/>
            <w:r w:rsidRPr="00C042BF">
              <w:rPr>
                <w:b/>
                <w:color w:val="auto"/>
              </w:rPr>
              <w:t xml:space="preserve">INDICATOR REF: </w:t>
            </w:r>
            <w:r w:rsidR="00A90851" w:rsidRPr="00C042BF">
              <w:rPr>
                <w:b/>
                <w:color w:val="auto"/>
              </w:rPr>
              <w:t>CHN10 – Percentage of adults satisfied with local schools</w:t>
            </w:r>
            <w:bookmarkEnd w:id="5"/>
            <w:r w:rsidR="00E10B0A" w:rsidRPr="00C042BF">
              <w:rPr>
                <w:b/>
                <w:color w:val="auto"/>
              </w:rPr>
              <w:t xml:space="preserve"> </w:t>
            </w:r>
          </w:p>
        </w:tc>
      </w:tr>
      <w:tr w:rsidR="003E452D" w14:paraId="43D71B6F" w14:textId="77777777" w:rsidTr="00C0047B">
        <w:trPr>
          <w:trHeight w:val="45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3F9EA2C4" w14:textId="72E7CBAF" w:rsidR="003E452D" w:rsidRPr="00E56A30" w:rsidRDefault="003E452D" w:rsidP="00362ABA">
            <w:pPr>
              <w:spacing w:after="0" w:line="240" w:lineRule="auto"/>
              <w:jc w:val="center"/>
              <w:rPr>
                <w:b/>
                <w:color w:val="0070C0"/>
                <w:sz w:val="28"/>
                <w:szCs w:val="28"/>
              </w:rPr>
            </w:pPr>
            <w:r w:rsidRPr="00C577BD">
              <w:rPr>
                <w:b/>
                <w:color w:val="0070C0"/>
                <w:sz w:val="28"/>
                <w:szCs w:val="28"/>
              </w:rPr>
              <w:t>Performance Range:</w:t>
            </w:r>
            <w:r w:rsidR="00E56A30" w:rsidRPr="005A6C7B">
              <w:rPr>
                <w:b/>
                <w:color w:val="0070C0"/>
                <w:sz w:val="28"/>
                <w:szCs w:val="28"/>
              </w:rPr>
              <w:t xml:space="preserve"> </w:t>
            </w:r>
            <w:r w:rsidR="00780F1F">
              <w:rPr>
                <w:b/>
                <w:color w:val="0070C0"/>
                <w:sz w:val="28"/>
                <w:szCs w:val="28"/>
              </w:rPr>
              <w:t>59.1</w:t>
            </w:r>
            <w:r w:rsidR="00E56A30">
              <w:rPr>
                <w:b/>
                <w:color w:val="0070C0"/>
                <w:sz w:val="28"/>
                <w:szCs w:val="28"/>
              </w:rPr>
              <w:t xml:space="preserve">% to </w:t>
            </w:r>
            <w:r w:rsidR="00780F1F">
              <w:rPr>
                <w:b/>
                <w:color w:val="0070C0"/>
                <w:sz w:val="28"/>
                <w:szCs w:val="28"/>
              </w:rPr>
              <w:t>88.77</w:t>
            </w:r>
            <w:r w:rsidR="00E56A30">
              <w:rPr>
                <w:b/>
                <w:color w:val="0070C0"/>
                <w:sz w:val="28"/>
                <w:szCs w:val="28"/>
              </w:rPr>
              <w:t>%</w:t>
            </w:r>
            <w:r w:rsidR="005E2139">
              <w:rPr>
                <w:b/>
                <w:color w:val="0070C0"/>
                <w:sz w:val="28"/>
                <w:szCs w:val="28"/>
              </w:rPr>
              <w:t xml:space="preserve">  </w:t>
            </w:r>
            <w:r w:rsidR="005E2139" w:rsidRPr="005E2139">
              <w:rPr>
                <w:b/>
                <w:color w:val="0070C0"/>
                <w:sz w:val="28"/>
                <w:szCs w:val="28"/>
              </w:rPr>
              <w:t>(Highest is best)</w:t>
            </w:r>
          </w:p>
        </w:tc>
      </w:tr>
      <w:tr w:rsidR="00727D13" w14:paraId="57B54986" w14:textId="77777777" w:rsidTr="00C0047B">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E44502F" w14:textId="77777777" w:rsidR="00727D13" w:rsidRDefault="00727D13" w:rsidP="009A329B">
            <w:pPr>
              <w:spacing w:after="0" w:line="240" w:lineRule="auto"/>
              <w:jc w:val="center"/>
              <w:rPr>
                <w:b/>
                <w:sz w:val="28"/>
                <w:szCs w:val="28"/>
              </w:rPr>
            </w:pPr>
            <w:r>
              <w:rPr>
                <w:b/>
                <w:sz w:val="28"/>
                <w:szCs w:val="28"/>
              </w:rPr>
              <w:t>ARGYLL AND BUTE</w:t>
            </w:r>
          </w:p>
        </w:tc>
        <w:tc>
          <w:tcPr>
            <w:tcW w:w="780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DC4F345" w14:textId="77777777" w:rsidR="00727D13" w:rsidRDefault="00727D13" w:rsidP="009A329B">
            <w:pPr>
              <w:spacing w:after="0" w:line="240" w:lineRule="auto"/>
              <w:jc w:val="center"/>
              <w:rPr>
                <w:b/>
                <w:sz w:val="28"/>
                <w:szCs w:val="28"/>
              </w:rPr>
            </w:pPr>
            <w:r>
              <w:rPr>
                <w:b/>
                <w:sz w:val="28"/>
                <w:szCs w:val="28"/>
              </w:rPr>
              <w:t>SCOTLAND</w:t>
            </w:r>
          </w:p>
        </w:tc>
      </w:tr>
      <w:tr w:rsidR="000A1E11" w14:paraId="0D17E59F" w14:textId="77777777" w:rsidTr="00C0047B">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vAlign w:val="center"/>
          </w:tcPr>
          <w:p w14:paraId="60D28101" w14:textId="025EA7D4" w:rsidR="000A1E11" w:rsidRPr="00F16CDA" w:rsidRDefault="00780F1F" w:rsidP="009A329B">
            <w:pPr>
              <w:spacing w:after="0" w:line="240" w:lineRule="auto"/>
              <w:jc w:val="center"/>
              <w:rPr>
                <w:b/>
                <w:sz w:val="28"/>
                <w:szCs w:val="28"/>
              </w:rPr>
            </w:pPr>
            <w:r>
              <w:rPr>
                <w:b/>
                <w:sz w:val="28"/>
                <w:szCs w:val="28"/>
              </w:rPr>
              <w:t>80.43</w:t>
            </w:r>
            <w:r w:rsidR="00362ABA">
              <w:rPr>
                <w:b/>
                <w:sz w:val="28"/>
                <w:szCs w:val="28"/>
              </w:rPr>
              <w:t>%</w:t>
            </w:r>
          </w:p>
        </w:tc>
        <w:tc>
          <w:tcPr>
            <w:tcW w:w="7801" w:type="dxa"/>
            <w:gridSpan w:val="2"/>
            <w:tcBorders>
              <w:top w:val="single" w:sz="4" w:space="0" w:color="auto"/>
              <w:left w:val="single" w:sz="4" w:space="0" w:color="auto"/>
              <w:bottom w:val="single" w:sz="4" w:space="0" w:color="auto"/>
              <w:right w:val="single" w:sz="4" w:space="0" w:color="auto"/>
            </w:tcBorders>
            <w:vAlign w:val="center"/>
          </w:tcPr>
          <w:p w14:paraId="06ABEFB7" w14:textId="441C07A9" w:rsidR="000A1E11" w:rsidRPr="00EC5E64" w:rsidRDefault="00780F1F" w:rsidP="009A329B">
            <w:pPr>
              <w:spacing w:after="0" w:line="240" w:lineRule="auto"/>
              <w:jc w:val="center"/>
              <w:rPr>
                <w:b/>
                <w:sz w:val="28"/>
                <w:szCs w:val="28"/>
              </w:rPr>
            </w:pPr>
            <w:r>
              <w:rPr>
                <w:b/>
                <w:sz w:val="28"/>
                <w:szCs w:val="28"/>
              </w:rPr>
              <w:t>71.83</w:t>
            </w:r>
            <w:r w:rsidR="00362ABA">
              <w:rPr>
                <w:b/>
                <w:sz w:val="28"/>
                <w:szCs w:val="28"/>
              </w:rPr>
              <w:t>%</w:t>
            </w:r>
          </w:p>
        </w:tc>
      </w:tr>
      <w:tr w:rsidR="004B4889" w14:paraId="135F487A" w14:textId="77777777" w:rsidTr="00C0047B">
        <w:trPr>
          <w:trHeight w:val="397"/>
          <w:jc w:val="center"/>
        </w:trPr>
        <w:tc>
          <w:tcPr>
            <w:tcW w:w="5665" w:type="dxa"/>
            <w:tcBorders>
              <w:top w:val="single" w:sz="4" w:space="0" w:color="auto"/>
              <w:left w:val="single" w:sz="4" w:space="0" w:color="auto"/>
              <w:bottom w:val="single" w:sz="4" w:space="0" w:color="auto"/>
              <w:right w:val="single" w:sz="4" w:space="0" w:color="auto"/>
            </w:tcBorders>
            <w:vAlign w:val="center"/>
          </w:tcPr>
          <w:p w14:paraId="68D0C9B2" w14:textId="2DB425B4" w:rsidR="004B4889" w:rsidRPr="00C15C1F" w:rsidRDefault="004B4889" w:rsidP="00362ABA">
            <w:pPr>
              <w:spacing w:after="0" w:line="240" w:lineRule="auto"/>
              <w:jc w:val="center"/>
              <w:rPr>
                <w:b/>
                <w:sz w:val="28"/>
                <w:szCs w:val="28"/>
              </w:rPr>
            </w:pPr>
            <w:r w:rsidRPr="00C15C1F">
              <w:rPr>
                <w:b/>
                <w:sz w:val="28"/>
                <w:szCs w:val="28"/>
              </w:rPr>
              <w:t>CHANGE 201</w:t>
            </w:r>
            <w:r w:rsidR="00362ABA">
              <w:rPr>
                <w:b/>
                <w:sz w:val="28"/>
                <w:szCs w:val="28"/>
              </w:rPr>
              <w:t>7</w:t>
            </w:r>
            <w:r w:rsidRPr="00C15C1F">
              <w:rPr>
                <w:b/>
                <w:sz w:val="28"/>
                <w:szCs w:val="28"/>
              </w:rPr>
              <w:t>/1</w:t>
            </w:r>
            <w:r w:rsidR="00362ABA">
              <w:rPr>
                <w:b/>
                <w:sz w:val="28"/>
                <w:szCs w:val="28"/>
              </w:rPr>
              <w:t>8</w:t>
            </w:r>
            <w:r w:rsidRPr="00C15C1F">
              <w:rPr>
                <w:b/>
                <w:sz w:val="28"/>
                <w:szCs w:val="28"/>
              </w:rPr>
              <w:t xml:space="preserve"> TO </w:t>
            </w:r>
            <w:r>
              <w:rPr>
                <w:b/>
                <w:sz w:val="28"/>
                <w:szCs w:val="28"/>
              </w:rPr>
              <w:t>201</w:t>
            </w:r>
            <w:r w:rsidR="00362ABA">
              <w:rPr>
                <w:b/>
                <w:sz w:val="28"/>
                <w:szCs w:val="28"/>
              </w:rPr>
              <w:t>8</w:t>
            </w:r>
            <w:r>
              <w:rPr>
                <w:b/>
                <w:sz w:val="28"/>
                <w:szCs w:val="28"/>
              </w:rPr>
              <w:t>/1</w:t>
            </w:r>
            <w:r w:rsidR="00362ABA">
              <w:rPr>
                <w:b/>
                <w:sz w:val="28"/>
                <w:szCs w:val="28"/>
              </w:rPr>
              <w:t>9</w:t>
            </w:r>
          </w:p>
        </w:tc>
        <w:tc>
          <w:tcPr>
            <w:tcW w:w="1843" w:type="dxa"/>
            <w:tcBorders>
              <w:top w:val="single" w:sz="4" w:space="0" w:color="auto"/>
              <w:left w:val="single" w:sz="4" w:space="0" w:color="auto"/>
              <w:bottom w:val="single" w:sz="4" w:space="0" w:color="auto"/>
              <w:right w:val="single" w:sz="4" w:space="0" w:color="auto"/>
            </w:tcBorders>
            <w:vAlign w:val="center"/>
          </w:tcPr>
          <w:p w14:paraId="2CD68FB3" w14:textId="1C503DAD" w:rsidR="004B4889" w:rsidRDefault="00780F1F" w:rsidP="00780F1F">
            <w:pPr>
              <w:spacing w:after="0" w:line="240" w:lineRule="auto"/>
              <w:jc w:val="center"/>
              <w:rPr>
                <w:b/>
                <w:sz w:val="28"/>
                <w:szCs w:val="28"/>
              </w:rPr>
            </w:pPr>
            <w:r>
              <w:rPr>
                <w:b/>
                <w:sz w:val="28"/>
                <w:szCs w:val="28"/>
              </w:rPr>
              <w:t>2</w:t>
            </w:r>
            <w:r w:rsidR="00362ABA">
              <w:rPr>
                <w:b/>
                <w:sz w:val="28"/>
                <w:szCs w:val="28"/>
              </w:rPr>
              <w:t>.</w:t>
            </w:r>
            <w:r>
              <w:rPr>
                <w:b/>
                <w:sz w:val="28"/>
                <w:szCs w:val="28"/>
              </w:rPr>
              <w:t>43</w:t>
            </w:r>
            <w:r w:rsidR="00A640C4">
              <w:rPr>
                <w:b/>
                <w:sz w:val="28"/>
                <w:szCs w:val="28"/>
              </w:rPr>
              <w:t xml:space="preserve"> </w:t>
            </w:r>
            <w:r w:rsidR="00A640C4" w:rsidRPr="00EC5E64">
              <w:rPr>
                <w:b/>
                <w:color w:val="00B050"/>
                <w:sz w:val="28"/>
                <w:szCs w:val="28"/>
              </w:rPr>
              <w:sym w:font="Wingdings" w:char="F0E9"/>
            </w:r>
          </w:p>
        </w:tc>
        <w:tc>
          <w:tcPr>
            <w:tcW w:w="6095" w:type="dxa"/>
            <w:tcBorders>
              <w:top w:val="single" w:sz="4" w:space="0" w:color="auto"/>
              <w:left w:val="single" w:sz="4" w:space="0" w:color="auto"/>
              <w:bottom w:val="single" w:sz="4" w:space="0" w:color="auto"/>
              <w:right w:val="single" w:sz="4" w:space="0" w:color="auto"/>
            </w:tcBorders>
            <w:vAlign w:val="center"/>
          </w:tcPr>
          <w:p w14:paraId="3E539E4B" w14:textId="5BFDDB7F" w:rsidR="004B4889" w:rsidRPr="00561760" w:rsidRDefault="004B4889" w:rsidP="00362ABA">
            <w:pPr>
              <w:spacing w:after="0" w:line="240" w:lineRule="auto"/>
              <w:jc w:val="center"/>
              <w:rPr>
                <w:sz w:val="28"/>
                <w:szCs w:val="28"/>
              </w:rPr>
            </w:pPr>
            <w:r>
              <w:rPr>
                <w:sz w:val="28"/>
                <w:szCs w:val="28"/>
              </w:rPr>
              <w:t>CHANGE 201</w:t>
            </w:r>
            <w:r w:rsidR="00362ABA">
              <w:rPr>
                <w:sz w:val="28"/>
                <w:szCs w:val="28"/>
              </w:rPr>
              <w:t>7</w:t>
            </w:r>
            <w:r>
              <w:rPr>
                <w:sz w:val="28"/>
                <w:szCs w:val="28"/>
              </w:rPr>
              <w:t>/1</w:t>
            </w:r>
            <w:r w:rsidR="00362ABA">
              <w:rPr>
                <w:sz w:val="28"/>
                <w:szCs w:val="28"/>
              </w:rPr>
              <w:t>8</w:t>
            </w:r>
            <w:r>
              <w:rPr>
                <w:sz w:val="28"/>
                <w:szCs w:val="28"/>
              </w:rPr>
              <w:t xml:space="preserve"> TO 201</w:t>
            </w:r>
            <w:r w:rsidR="00362ABA">
              <w:rPr>
                <w:sz w:val="28"/>
                <w:szCs w:val="28"/>
              </w:rPr>
              <w:t>8</w:t>
            </w:r>
            <w:r>
              <w:rPr>
                <w:sz w:val="28"/>
                <w:szCs w:val="28"/>
              </w:rPr>
              <w:t>/1</w:t>
            </w:r>
            <w:r w:rsidR="00362ABA">
              <w:rPr>
                <w:sz w:val="28"/>
                <w:szCs w:val="28"/>
              </w:rPr>
              <w:t>9</w:t>
            </w:r>
          </w:p>
        </w:tc>
        <w:tc>
          <w:tcPr>
            <w:tcW w:w="1706" w:type="dxa"/>
            <w:tcBorders>
              <w:top w:val="single" w:sz="4" w:space="0" w:color="auto"/>
              <w:left w:val="single" w:sz="4" w:space="0" w:color="auto"/>
              <w:bottom w:val="single" w:sz="4" w:space="0" w:color="auto"/>
              <w:right w:val="single" w:sz="4" w:space="0" w:color="auto"/>
            </w:tcBorders>
            <w:vAlign w:val="center"/>
          </w:tcPr>
          <w:p w14:paraId="28EC7C0A" w14:textId="5A1679F4" w:rsidR="004B4889" w:rsidRPr="00C10F37" w:rsidRDefault="00A640C4" w:rsidP="009A329B">
            <w:pPr>
              <w:spacing w:after="0" w:line="240" w:lineRule="auto"/>
              <w:jc w:val="center"/>
              <w:rPr>
                <w:b/>
                <w:sz w:val="28"/>
                <w:szCs w:val="28"/>
                <w:highlight w:val="yellow"/>
              </w:rPr>
            </w:pPr>
            <w:r w:rsidRPr="00A640C4">
              <w:rPr>
                <w:sz w:val="28"/>
                <w:szCs w:val="28"/>
              </w:rPr>
              <w:t xml:space="preserve">-0.5 </w:t>
            </w:r>
            <w:r w:rsidRPr="00C14931">
              <w:rPr>
                <w:b/>
                <w:color w:val="FF0000"/>
                <w:sz w:val="28"/>
                <w:szCs w:val="28"/>
              </w:rPr>
              <w:sym w:font="Wingdings" w:char="F0EA"/>
            </w:r>
          </w:p>
        </w:tc>
      </w:tr>
      <w:tr w:rsidR="004B4889" w14:paraId="19D89D3C" w14:textId="77777777" w:rsidTr="00C0047B">
        <w:trPr>
          <w:trHeight w:val="397"/>
          <w:jc w:val="center"/>
        </w:trPr>
        <w:tc>
          <w:tcPr>
            <w:tcW w:w="5665" w:type="dxa"/>
            <w:tcBorders>
              <w:top w:val="single" w:sz="4" w:space="0" w:color="auto"/>
              <w:left w:val="single" w:sz="4" w:space="0" w:color="auto"/>
              <w:bottom w:val="single" w:sz="4" w:space="0" w:color="auto"/>
              <w:right w:val="single" w:sz="4" w:space="0" w:color="auto"/>
            </w:tcBorders>
            <w:vAlign w:val="center"/>
          </w:tcPr>
          <w:p w14:paraId="496C36AD" w14:textId="7317329E" w:rsidR="004B4889" w:rsidRPr="00C15C1F" w:rsidRDefault="004B4889" w:rsidP="00362ABA">
            <w:pPr>
              <w:spacing w:after="0" w:line="240" w:lineRule="auto"/>
              <w:jc w:val="center"/>
              <w:rPr>
                <w:b/>
                <w:sz w:val="28"/>
                <w:szCs w:val="28"/>
              </w:rPr>
            </w:pPr>
            <w:r>
              <w:rPr>
                <w:b/>
                <w:sz w:val="28"/>
                <w:szCs w:val="28"/>
              </w:rPr>
              <w:t>CHANGE BASE YEAR TO 201</w:t>
            </w:r>
            <w:r w:rsidR="00362ABA">
              <w:rPr>
                <w:b/>
                <w:sz w:val="28"/>
                <w:szCs w:val="28"/>
              </w:rPr>
              <w:t>8</w:t>
            </w:r>
            <w:r>
              <w:rPr>
                <w:b/>
                <w:sz w:val="28"/>
                <w:szCs w:val="28"/>
              </w:rPr>
              <w:t>/1</w:t>
            </w:r>
            <w:r w:rsidR="00362ABA">
              <w:rPr>
                <w:b/>
                <w:sz w:val="28"/>
                <w:szCs w:val="28"/>
              </w:rPr>
              <w:t>9</w:t>
            </w:r>
          </w:p>
        </w:tc>
        <w:tc>
          <w:tcPr>
            <w:tcW w:w="1843" w:type="dxa"/>
            <w:tcBorders>
              <w:top w:val="single" w:sz="4" w:space="0" w:color="auto"/>
              <w:left w:val="single" w:sz="4" w:space="0" w:color="auto"/>
              <w:bottom w:val="single" w:sz="4" w:space="0" w:color="auto"/>
              <w:right w:val="single" w:sz="4" w:space="0" w:color="auto"/>
            </w:tcBorders>
            <w:vAlign w:val="center"/>
          </w:tcPr>
          <w:p w14:paraId="577A7A31" w14:textId="2080366D" w:rsidR="004B4889" w:rsidRDefault="00780F1F" w:rsidP="009A329B">
            <w:pPr>
              <w:spacing w:after="0" w:line="240" w:lineRule="auto"/>
              <w:jc w:val="center"/>
              <w:rPr>
                <w:b/>
                <w:sz w:val="28"/>
                <w:szCs w:val="28"/>
              </w:rPr>
            </w:pPr>
            <w:r>
              <w:rPr>
                <w:b/>
                <w:sz w:val="28"/>
                <w:szCs w:val="28"/>
              </w:rPr>
              <w:t>-2.73</w:t>
            </w:r>
            <w:r w:rsidR="00A640C4">
              <w:rPr>
                <w:b/>
                <w:sz w:val="28"/>
                <w:szCs w:val="28"/>
              </w:rPr>
              <w:t xml:space="preserve"> </w:t>
            </w:r>
            <w:r w:rsidR="00A640C4" w:rsidRPr="00C14931">
              <w:rPr>
                <w:b/>
                <w:color w:val="FF0000"/>
                <w:sz w:val="28"/>
                <w:szCs w:val="28"/>
              </w:rPr>
              <w:sym w:font="Wingdings" w:char="F0EA"/>
            </w:r>
          </w:p>
        </w:tc>
        <w:tc>
          <w:tcPr>
            <w:tcW w:w="6095" w:type="dxa"/>
            <w:tcBorders>
              <w:top w:val="single" w:sz="4" w:space="0" w:color="auto"/>
              <w:left w:val="single" w:sz="4" w:space="0" w:color="auto"/>
              <w:bottom w:val="single" w:sz="4" w:space="0" w:color="auto"/>
              <w:right w:val="single" w:sz="4" w:space="0" w:color="auto"/>
            </w:tcBorders>
            <w:vAlign w:val="center"/>
          </w:tcPr>
          <w:p w14:paraId="10AE807F" w14:textId="34DA79F8" w:rsidR="004B4889" w:rsidRPr="00561760" w:rsidRDefault="004B4889" w:rsidP="00362ABA">
            <w:pPr>
              <w:spacing w:after="0" w:line="240" w:lineRule="auto"/>
              <w:jc w:val="center"/>
              <w:rPr>
                <w:sz w:val="28"/>
                <w:szCs w:val="28"/>
              </w:rPr>
            </w:pPr>
            <w:r>
              <w:rPr>
                <w:sz w:val="28"/>
                <w:szCs w:val="28"/>
              </w:rPr>
              <w:t>CHANGE BASE YEAR TO 201</w:t>
            </w:r>
            <w:r w:rsidR="00362ABA">
              <w:rPr>
                <w:sz w:val="28"/>
                <w:szCs w:val="28"/>
              </w:rPr>
              <w:t>8</w:t>
            </w:r>
            <w:r>
              <w:rPr>
                <w:sz w:val="28"/>
                <w:szCs w:val="28"/>
              </w:rPr>
              <w:t>/1</w:t>
            </w:r>
            <w:r w:rsidR="00362ABA">
              <w:rPr>
                <w:sz w:val="28"/>
                <w:szCs w:val="28"/>
              </w:rPr>
              <w:t>9</w:t>
            </w:r>
          </w:p>
        </w:tc>
        <w:tc>
          <w:tcPr>
            <w:tcW w:w="1706" w:type="dxa"/>
            <w:tcBorders>
              <w:top w:val="single" w:sz="4" w:space="0" w:color="auto"/>
              <w:left w:val="single" w:sz="4" w:space="0" w:color="auto"/>
              <w:bottom w:val="single" w:sz="4" w:space="0" w:color="auto"/>
              <w:right w:val="single" w:sz="4" w:space="0" w:color="auto"/>
            </w:tcBorders>
            <w:vAlign w:val="center"/>
          </w:tcPr>
          <w:p w14:paraId="118441AF" w14:textId="0B72DE88" w:rsidR="004B4889" w:rsidRPr="00C10F37" w:rsidRDefault="00A640C4" w:rsidP="009A329B">
            <w:pPr>
              <w:spacing w:after="0" w:line="240" w:lineRule="auto"/>
              <w:jc w:val="center"/>
              <w:rPr>
                <w:b/>
                <w:sz w:val="28"/>
                <w:szCs w:val="28"/>
                <w:highlight w:val="yellow"/>
              </w:rPr>
            </w:pPr>
            <w:r w:rsidRPr="00A640C4">
              <w:rPr>
                <w:sz w:val="28"/>
                <w:szCs w:val="28"/>
              </w:rPr>
              <w:t>-10.53</w:t>
            </w:r>
            <w:r w:rsidRPr="00A640C4">
              <w:rPr>
                <w:b/>
                <w:sz w:val="28"/>
                <w:szCs w:val="28"/>
              </w:rPr>
              <w:t xml:space="preserve"> </w:t>
            </w:r>
            <w:r w:rsidRPr="00C14931">
              <w:rPr>
                <w:b/>
                <w:color w:val="FF0000"/>
                <w:sz w:val="28"/>
                <w:szCs w:val="28"/>
              </w:rPr>
              <w:sym w:font="Wingdings" w:char="F0EA"/>
            </w:r>
          </w:p>
        </w:tc>
      </w:tr>
      <w:tr w:rsidR="004B4889" w14:paraId="344949C3" w14:textId="77777777" w:rsidTr="00B318EA">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vAlign w:val="center"/>
          </w:tcPr>
          <w:p w14:paraId="2614C54A" w14:textId="32FDB7E1" w:rsidR="004B4889" w:rsidRPr="006B5E5B" w:rsidRDefault="004B4889" w:rsidP="00362ABA">
            <w:pPr>
              <w:spacing w:after="0" w:line="240" w:lineRule="auto"/>
              <w:jc w:val="center"/>
              <w:rPr>
                <w:b/>
                <w:sz w:val="28"/>
                <w:szCs w:val="28"/>
              </w:rPr>
            </w:pPr>
            <w:r w:rsidRPr="006B5E5B">
              <w:rPr>
                <w:b/>
                <w:sz w:val="28"/>
                <w:szCs w:val="28"/>
              </w:rPr>
              <w:t>RANK POSITION:</w:t>
            </w:r>
            <w:r w:rsidR="00513443" w:rsidRPr="006B5E5B">
              <w:rPr>
                <w:b/>
                <w:sz w:val="28"/>
                <w:szCs w:val="28"/>
              </w:rPr>
              <w:t xml:space="preserve">  </w:t>
            </w:r>
            <w:r w:rsidR="00780F1F">
              <w:rPr>
                <w:b/>
                <w:sz w:val="28"/>
                <w:szCs w:val="28"/>
              </w:rPr>
              <w:t>7</w:t>
            </w:r>
            <w:r w:rsidR="00513443" w:rsidRPr="006B5E5B">
              <w:rPr>
                <w:b/>
                <w:sz w:val="28"/>
                <w:szCs w:val="28"/>
              </w:rPr>
              <w:t xml:space="preserve">  </w:t>
            </w:r>
            <w:r w:rsidRPr="006B5E5B">
              <w:rPr>
                <w:b/>
                <w:sz w:val="28"/>
                <w:szCs w:val="28"/>
              </w:rPr>
              <w:t xml:space="preserve">RANK MOVEMENT: </w:t>
            </w:r>
            <w:r w:rsidR="00780F1F">
              <w:rPr>
                <w:b/>
                <w:sz w:val="28"/>
                <w:szCs w:val="28"/>
              </w:rPr>
              <w:t>6</w:t>
            </w:r>
            <w:r w:rsidR="00A640C4">
              <w:rPr>
                <w:b/>
                <w:sz w:val="28"/>
                <w:szCs w:val="28"/>
              </w:rPr>
              <w:t xml:space="preserve"> </w:t>
            </w:r>
            <w:r w:rsidR="00A640C4" w:rsidRPr="00EC5E64">
              <w:rPr>
                <w:b/>
                <w:color w:val="00B050"/>
                <w:sz w:val="28"/>
                <w:szCs w:val="28"/>
              </w:rPr>
              <w:sym w:font="Wingdings" w:char="F0E9"/>
            </w:r>
          </w:p>
        </w:tc>
        <w:tc>
          <w:tcPr>
            <w:tcW w:w="780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05E16E18" w14:textId="77777777" w:rsidR="004B4889" w:rsidRPr="00561760" w:rsidRDefault="004B4889" w:rsidP="009A329B">
            <w:pPr>
              <w:spacing w:after="0" w:line="240" w:lineRule="auto"/>
              <w:rPr>
                <w:sz w:val="28"/>
                <w:szCs w:val="28"/>
              </w:rPr>
            </w:pPr>
          </w:p>
        </w:tc>
      </w:tr>
      <w:tr w:rsidR="00C042BF" w14:paraId="4BA43B35" w14:textId="77777777" w:rsidTr="00B318EA">
        <w:trPr>
          <w:trHeight w:val="397"/>
          <w:jc w:val="center"/>
        </w:trPr>
        <w:tc>
          <w:tcPr>
            <w:tcW w:w="7508"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7A9F9CC5" w14:textId="0EDF3DFA" w:rsidR="00C042BF" w:rsidRPr="00C15C1F" w:rsidRDefault="00C0047B" w:rsidP="00362ABA">
            <w:pPr>
              <w:spacing w:after="0" w:line="240" w:lineRule="auto"/>
              <w:jc w:val="center"/>
              <w:rPr>
                <w:b/>
                <w:sz w:val="28"/>
                <w:szCs w:val="28"/>
              </w:rPr>
            </w:pPr>
            <w:r>
              <w:rPr>
                <w:b/>
                <w:sz w:val="28"/>
                <w:szCs w:val="28"/>
              </w:rPr>
              <w:t>FAMILY GROUP RANKING 201</w:t>
            </w:r>
            <w:r w:rsidR="00362ABA">
              <w:rPr>
                <w:b/>
                <w:sz w:val="28"/>
                <w:szCs w:val="28"/>
              </w:rPr>
              <w:t>8</w:t>
            </w:r>
            <w:r>
              <w:rPr>
                <w:b/>
                <w:sz w:val="28"/>
                <w:szCs w:val="28"/>
              </w:rPr>
              <w:t>/1</w:t>
            </w:r>
            <w:r w:rsidR="00362ABA">
              <w:rPr>
                <w:b/>
                <w:sz w:val="28"/>
                <w:szCs w:val="28"/>
              </w:rPr>
              <w:t>8</w:t>
            </w:r>
          </w:p>
        </w:tc>
        <w:tc>
          <w:tcPr>
            <w:tcW w:w="7801" w:type="dxa"/>
            <w:gridSpan w:val="2"/>
            <w:tcBorders>
              <w:left w:val="single" w:sz="4" w:space="0" w:color="auto"/>
              <w:right w:val="single" w:sz="4" w:space="0" w:color="auto"/>
            </w:tcBorders>
            <w:shd w:val="clear" w:color="auto" w:fill="D9D9D9" w:themeFill="background1" w:themeFillShade="D9"/>
            <w:vAlign w:val="center"/>
          </w:tcPr>
          <w:p w14:paraId="584E3716" w14:textId="77777777" w:rsidR="00C042BF" w:rsidRPr="00561760" w:rsidRDefault="00C042BF" w:rsidP="009A329B">
            <w:pPr>
              <w:spacing w:after="0" w:line="240" w:lineRule="auto"/>
              <w:rPr>
                <w:sz w:val="28"/>
                <w:szCs w:val="28"/>
              </w:rPr>
            </w:pPr>
          </w:p>
        </w:tc>
      </w:tr>
      <w:tr w:rsidR="00C0047B" w14:paraId="1E858F36" w14:textId="77777777" w:rsidTr="00B318EA">
        <w:trPr>
          <w:trHeight w:val="397"/>
          <w:jc w:val="center"/>
        </w:trPr>
        <w:tc>
          <w:tcPr>
            <w:tcW w:w="7508" w:type="dxa"/>
            <w:gridSpan w:val="2"/>
            <w:tcBorders>
              <w:left w:val="single" w:sz="4" w:space="0" w:color="auto"/>
              <w:bottom w:val="single" w:sz="4" w:space="0" w:color="auto"/>
              <w:right w:val="single" w:sz="4" w:space="0" w:color="auto"/>
            </w:tcBorders>
            <w:shd w:val="clear" w:color="auto" w:fill="D9E2F3" w:themeFill="accent5" w:themeFillTint="33"/>
            <w:vAlign w:val="center"/>
          </w:tcPr>
          <w:p w14:paraId="76802F86" w14:textId="46DABBD3" w:rsidR="00C0047B" w:rsidRDefault="00C0047B" w:rsidP="00362ABA">
            <w:pPr>
              <w:spacing w:after="0" w:line="240" w:lineRule="auto"/>
              <w:jc w:val="center"/>
              <w:rPr>
                <w:b/>
                <w:sz w:val="28"/>
                <w:szCs w:val="28"/>
              </w:rPr>
            </w:pPr>
            <w:r>
              <w:rPr>
                <w:b/>
                <w:sz w:val="28"/>
                <w:szCs w:val="28"/>
              </w:rPr>
              <w:t>RANK POSITION:</w:t>
            </w:r>
            <w:r w:rsidR="00FD1CF1">
              <w:rPr>
                <w:b/>
                <w:sz w:val="28"/>
                <w:szCs w:val="28"/>
              </w:rPr>
              <w:t xml:space="preserve">  </w:t>
            </w:r>
            <w:r w:rsidR="00780F1F">
              <w:rPr>
                <w:b/>
                <w:sz w:val="28"/>
                <w:szCs w:val="28"/>
              </w:rPr>
              <w:t>1</w:t>
            </w:r>
            <w:r w:rsidR="00FD1CF1">
              <w:rPr>
                <w:b/>
                <w:sz w:val="28"/>
                <w:szCs w:val="28"/>
              </w:rPr>
              <w:t xml:space="preserve">  </w:t>
            </w:r>
            <w:r>
              <w:rPr>
                <w:b/>
                <w:sz w:val="28"/>
                <w:szCs w:val="28"/>
              </w:rPr>
              <w:t xml:space="preserve">RANK MOVEMENT: </w:t>
            </w:r>
            <w:r w:rsidR="00780F1F">
              <w:rPr>
                <w:b/>
                <w:sz w:val="28"/>
                <w:szCs w:val="28"/>
              </w:rPr>
              <w:t>2</w:t>
            </w:r>
            <w:r w:rsidR="00A640C4">
              <w:rPr>
                <w:b/>
                <w:sz w:val="28"/>
                <w:szCs w:val="28"/>
              </w:rPr>
              <w:t xml:space="preserve"> </w:t>
            </w:r>
            <w:r w:rsidR="00A640C4" w:rsidRPr="00EC5E64">
              <w:rPr>
                <w:b/>
                <w:color w:val="00B050"/>
                <w:sz w:val="28"/>
                <w:szCs w:val="28"/>
              </w:rPr>
              <w:sym w:font="Wingdings" w:char="F0E9"/>
            </w:r>
          </w:p>
        </w:tc>
        <w:tc>
          <w:tcPr>
            <w:tcW w:w="7801"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2EAC2EA0" w14:textId="77777777" w:rsidR="00C0047B" w:rsidRPr="00561760" w:rsidRDefault="00C0047B" w:rsidP="009A329B">
            <w:pPr>
              <w:spacing w:after="0" w:line="240" w:lineRule="auto"/>
              <w:rPr>
                <w:sz w:val="28"/>
                <w:szCs w:val="28"/>
              </w:rPr>
            </w:pPr>
          </w:p>
        </w:tc>
      </w:tr>
      <w:tr w:rsidR="004B4889" w14:paraId="2964170E" w14:textId="77777777" w:rsidTr="00AA258A">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04D3D15A" w14:textId="0E75C0F2" w:rsidR="00C0047B" w:rsidRPr="00C0047B" w:rsidRDefault="00C0047B" w:rsidP="009A329B">
            <w:pPr>
              <w:spacing w:after="0" w:line="240" w:lineRule="auto"/>
              <w:rPr>
                <w:sz w:val="6"/>
                <w:szCs w:val="6"/>
              </w:rPr>
            </w:pPr>
          </w:p>
          <w:p w14:paraId="4D132F27" w14:textId="77777777" w:rsidR="004B4889" w:rsidRDefault="004B4889" w:rsidP="000F4CDF">
            <w:pPr>
              <w:spacing w:after="120" w:line="240" w:lineRule="auto"/>
              <w:rPr>
                <w:b/>
                <w:sz w:val="28"/>
                <w:szCs w:val="28"/>
              </w:rPr>
            </w:pPr>
            <w:r>
              <w:rPr>
                <w:b/>
                <w:sz w:val="28"/>
                <w:szCs w:val="28"/>
              </w:rPr>
              <w:t>TELLING OUR STORY</w:t>
            </w:r>
            <w:r w:rsidRPr="00F16CDA">
              <w:rPr>
                <w:b/>
                <w:sz w:val="28"/>
                <w:szCs w:val="28"/>
              </w:rPr>
              <w:t>:</w:t>
            </w:r>
          </w:p>
          <w:p w14:paraId="081F59F9" w14:textId="77777777" w:rsidR="00A2613D" w:rsidRPr="001453C3" w:rsidRDefault="0068490F" w:rsidP="000F4CDF">
            <w:pPr>
              <w:spacing w:after="120" w:line="240" w:lineRule="auto"/>
              <w:rPr>
                <w:sz w:val="24"/>
                <w:szCs w:val="24"/>
              </w:rPr>
            </w:pPr>
            <w:r w:rsidRPr="001453C3">
              <w:rPr>
                <w:sz w:val="24"/>
                <w:szCs w:val="24"/>
              </w:rPr>
              <w:t>Satisfaction data comes from the Scottish Household Survey; the figures reported are based on a three-year rolling average of survey results.</w:t>
            </w:r>
            <w:r w:rsidR="00A2613D">
              <w:rPr>
                <w:sz w:val="24"/>
                <w:szCs w:val="24"/>
              </w:rPr>
              <w:t xml:space="preserve"> Argyll and Bute performance has improved against a falling national performance. </w:t>
            </w:r>
          </w:p>
          <w:p w14:paraId="5677B358" w14:textId="19440FA3" w:rsidR="0068490F" w:rsidRPr="001453C3" w:rsidRDefault="0068490F" w:rsidP="000F4CDF">
            <w:pPr>
              <w:spacing w:after="120" w:line="240" w:lineRule="auto"/>
              <w:rPr>
                <w:sz w:val="24"/>
                <w:szCs w:val="24"/>
              </w:rPr>
            </w:pPr>
            <w:r w:rsidRPr="001453C3">
              <w:rPr>
                <w:sz w:val="24"/>
                <w:szCs w:val="24"/>
              </w:rPr>
              <w:t>Last year's report predicted rising levels of satisfaction following the implementation of the parental engagement strategy.</w:t>
            </w:r>
          </w:p>
          <w:p w14:paraId="0B67D507" w14:textId="5EB68228" w:rsidR="00794345" w:rsidRPr="00362ABA" w:rsidRDefault="00794345" w:rsidP="00362ABA">
            <w:pPr>
              <w:spacing w:after="0" w:line="240" w:lineRule="auto"/>
              <w:rPr>
                <w:rFonts w:ascii="Arial" w:hAnsi="Arial" w:cs="Arial"/>
                <w:szCs w:val="24"/>
              </w:rPr>
            </w:pPr>
          </w:p>
        </w:tc>
      </w:tr>
      <w:tr w:rsidR="004B4889" w14:paraId="50937014" w14:textId="77777777" w:rsidTr="00AA258A">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7FD53FAF" w14:textId="77777777" w:rsidR="00C0047B" w:rsidRPr="00C0047B" w:rsidRDefault="00C0047B" w:rsidP="009A329B">
            <w:pPr>
              <w:spacing w:after="0" w:line="240" w:lineRule="auto"/>
              <w:rPr>
                <w:sz w:val="6"/>
                <w:szCs w:val="6"/>
              </w:rPr>
            </w:pPr>
          </w:p>
          <w:p w14:paraId="32F92758" w14:textId="77777777" w:rsidR="004B4889" w:rsidRDefault="00232953" w:rsidP="009A329B">
            <w:pPr>
              <w:spacing w:after="0" w:line="240" w:lineRule="auto"/>
              <w:rPr>
                <w:b/>
                <w:sz w:val="28"/>
                <w:szCs w:val="28"/>
              </w:rPr>
            </w:pPr>
            <w:r>
              <w:rPr>
                <w:b/>
                <w:sz w:val="28"/>
                <w:szCs w:val="28"/>
              </w:rPr>
              <w:t>LOOKING FORWARD - EXPECTED IMPACT ON INDICATOR</w:t>
            </w:r>
            <w:r w:rsidR="004B4889">
              <w:rPr>
                <w:b/>
                <w:sz w:val="28"/>
                <w:szCs w:val="28"/>
              </w:rPr>
              <w:t>:</w:t>
            </w:r>
          </w:p>
          <w:p w14:paraId="194DE3DE" w14:textId="77777777" w:rsidR="00A2613D" w:rsidRPr="006805F1" w:rsidRDefault="00A2613D" w:rsidP="00A2613D">
            <w:pPr>
              <w:spacing w:after="0" w:line="240" w:lineRule="auto"/>
              <w:rPr>
                <w:b/>
                <w:sz w:val="24"/>
                <w:szCs w:val="24"/>
              </w:rPr>
            </w:pPr>
            <w:r w:rsidRPr="006805F1">
              <w:rPr>
                <w:sz w:val="24"/>
                <w:szCs w:val="24"/>
              </w:rPr>
              <w:t>Building on the parental engagement strategy there will be a virtual authority parent council established who will be consulted on changes to policy and procedures. A parent newsletter will also be issued. These actions aim to improve involvement and satisfaction with local schools.</w:t>
            </w:r>
          </w:p>
          <w:p w14:paraId="5DEC62B4" w14:textId="77777777" w:rsidR="00E82CC1" w:rsidRPr="00E82CC1" w:rsidRDefault="00E82CC1" w:rsidP="00362ABA">
            <w:pPr>
              <w:spacing w:after="0" w:line="240" w:lineRule="auto"/>
              <w:rPr>
                <w:rFonts w:ascii="Arial" w:hAnsi="Arial" w:cs="Arial"/>
                <w:szCs w:val="28"/>
              </w:rPr>
            </w:pPr>
          </w:p>
        </w:tc>
      </w:tr>
    </w:tbl>
    <w:p w14:paraId="68BA797E" w14:textId="16E3DBF3" w:rsidR="006B5E5B" w:rsidRDefault="007D1A9D" w:rsidP="006B5E5B">
      <w:r>
        <w:br w:type="page"/>
      </w:r>
    </w:p>
    <w:tbl>
      <w:tblPr>
        <w:tblW w:w="15309" w:type="dxa"/>
        <w:jc w:val="center"/>
        <w:tblLook w:val="04A0" w:firstRow="1" w:lastRow="0" w:firstColumn="1" w:lastColumn="0" w:noHBand="0" w:noVBand="1"/>
      </w:tblPr>
      <w:tblGrid>
        <w:gridCol w:w="5665"/>
        <w:gridCol w:w="1843"/>
        <w:gridCol w:w="5954"/>
        <w:gridCol w:w="1847"/>
      </w:tblGrid>
      <w:tr w:rsidR="00A376C3" w:rsidRPr="005D65E6" w14:paraId="01077E1A" w14:textId="77777777" w:rsidTr="00A376C3">
        <w:trPr>
          <w:trHeight w:val="79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3DC31B9F" w14:textId="77777777" w:rsidR="00A376C3" w:rsidRPr="005D65E6" w:rsidRDefault="00A376C3" w:rsidP="005D65E6">
            <w:pPr>
              <w:rPr>
                <w:b/>
                <w:sz w:val="32"/>
                <w:szCs w:val="32"/>
              </w:rPr>
            </w:pPr>
            <w:r w:rsidRPr="005D65E6">
              <w:rPr>
                <w:b/>
                <w:sz w:val="32"/>
                <w:szCs w:val="32"/>
              </w:rPr>
              <w:lastRenderedPageBreak/>
              <w:t>SERVICE: EDUCATION</w:t>
            </w:r>
          </w:p>
        </w:tc>
      </w:tr>
      <w:tr w:rsidR="00C253BA" w:rsidRPr="00396455" w14:paraId="4219599A" w14:textId="77777777" w:rsidTr="00A376C3">
        <w:trPr>
          <w:trHeight w:val="567"/>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177D6F09" w14:textId="7EF6DE9B" w:rsidR="00C253BA" w:rsidRPr="00396455" w:rsidRDefault="00C253BA" w:rsidP="00780F1F">
            <w:pPr>
              <w:pStyle w:val="Heading1"/>
              <w:spacing w:before="0" w:line="240" w:lineRule="auto"/>
              <w:rPr>
                <w:b/>
                <w:color w:val="auto"/>
              </w:rPr>
            </w:pPr>
            <w:bookmarkStart w:id="6" w:name="_Toc56757684"/>
            <w:r w:rsidRPr="00396455">
              <w:rPr>
                <w:b/>
                <w:color w:val="auto"/>
              </w:rPr>
              <w:t xml:space="preserve">INDICATOR REF: CHN18 - </w:t>
            </w:r>
            <w:r w:rsidR="001476AE" w:rsidRPr="00396455">
              <w:rPr>
                <w:b/>
                <w:color w:val="auto"/>
              </w:rPr>
              <w:t>Percentage of funded early years provision which is graded good/better</w:t>
            </w:r>
            <w:bookmarkEnd w:id="6"/>
          </w:p>
        </w:tc>
      </w:tr>
      <w:tr w:rsidR="003E452D" w14:paraId="511D0DEA" w14:textId="77777777" w:rsidTr="009C7F0A">
        <w:trPr>
          <w:trHeight w:val="45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618F4A2A" w14:textId="446BAC90" w:rsidR="003E452D" w:rsidRPr="00652D71" w:rsidRDefault="003E452D" w:rsidP="00362ABA">
            <w:pPr>
              <w:spacing w:after="0" w:line="240" w:lineRule="auto"/>
              <w:jc w:val="center"/>
              <w:rPr>
                <w:b/>
                <w:color w:val="0070C0"/>
                <w:sz w:val="28"/>
                <w:szCs w:val="28"/>
              </w:rPr>
            </w:pPr>
            <w:r w:rsidRPr="00C577BD">
              <w:rPr>
                <w:b/>
                <w:color w:val="0070C0"/>
                <w:sz w:val="28"/>
                <w:szCs w:val="28"/>
              </w:rPr>
              <w:t>Performance Range:</w:t>
            </w:r>
            <w:r w:rsidR="00652D71" w:rsidRPr="004C7782">
              <w:rPr>
                <w:b/>
                <w:color w:val="0070C0"/>
                <w:sz w:val="28"/>
                <w:szCs w:val="28"/>
              </w:rPr>
              <w:t xml:space="preserve"> </w:t>
            </w:r>
            <w:r w:rsidR="00A640C4">
              <w:rPr>
                <w:b/>
                <w:color w:val="0070C0"/>
                <w:sz w:val="28"/>
                <w:szCs w:val="28"/>
              </w:rPr>
              <w:t>75.44</w:t>
            </w:r>
            <w:r w:rsidR="00652D71">
              <w:rPr>
                <w:b/>
                <w:color w:val="0070C0"/>
                <w:sz w:val="28"/>
                <w:szCs w:val="28"/>
              </w:rPr>
              <w:t xml:space="preserve">% to </w:t>
            </w:r>
            <w:r w:rsidR="00A640C4">
              <w:rPr>
                <w:b/>
                <w:color w:val="0070C0"/>
                <w:sz w:val="28"/>
                <w:szCs w:val="28"/>
              </w:rPr>
              <w:t>100</w:t>
            </w:r>
            <w:r w:rsidR="00652D71">
              <w:rPr>
                <w:b/>
                <w:color w:val="0070C0"/>
                <w:sz w:val="28"/>
                <w:szCs w:val="28"/>
              </w:rPr>
              <w:t>%</w:t>
            </w:r>
            <w:r w:rsidR="005E2139">
              <w:rPr>
                <w:b/>
                <w:color w:val="0070C0"/>
                <w:sz w:val="28"/>
                <w:szCs w:val="28"/>
              </w:rPr>
              <w:t xml:space="preserve">  </w:t>
            </w:r>
            <w:r w:rsidR="005E2139" w:rsidRPr="005E2139">
              <w:rPr>
                <w:b/>
                <w:color w:val="0070C0"/>
                <w:sz w:val="28"/>
                <w:szCs w:val="28"/>
              </w:rPr>
              <w:t>(Highest is best)</w:t>
            </w:r>
          </w:p>
        </w:tc>
      </w:tr>
      <w:tr w:rsidR="00321B3D" w14:paraId="4B05698A" w14:textId="77777777" w:rsidTr="007D475F">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2ABAFFC" w14:textId="77777777" w:rsidR="00321B3D" w:rsidRDefault="00321B3D" w:rsidP="009A329B">
            <w:pPr>
              <w:spacing w:after="0" w:line="240" w:lineRule="auto"/>
              <w:jc w:val="center"/>
              <w:rPr>
                <w:b/>
                <w:sz w:val="28"/>
                <w:szCs w:val="28"/>
              </w:rPr>
            </w:pPr>
            <w:r>
              <w:rPr>
                <w:b/>
                <w:sz w:val="28"/>
                <w:szCs w:val="28"/>
              </w:rPr>
              <w:t>ARGYLL AND BUTE</w:t>
            </w:r>
          </w:p>
        </w:tc>
        <w:tc>
          <w:tcPr>
            <w:tcW w:w="780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F8B388D" w14:textId="77777777" w:rsidR="00321B3D" w:rsidRDefault="00321B3D" w:rsidP="009A329B">
            <w:pPr>
              <w:spacing w:after="0" w:line="240" w:lineRule="auto"/>
              <w:jc w:val="center"/>
              <w:rPr>
                <w:b/>
                <w:sz w:val="28"/>
                <w:szCs w:val="28"/>
              </w:rPr>
            </w:pPr>
            <w:r>
              <w:rPr>
                <w:b/>
                <w:sz w:val="28"/>
                <w:szCs w:val="28"/>
              </w:rPr>
              <w:t>SCOTLAND</w:t>
            </w:r>
          </w:p>
        </w:tc>
      </w:tr>
      <w:tr w:rsidR="00321B3D" w14:paraId="7810C1A1" w14:textId="77777777" w:rsidTr="007D475F">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vAlign w:val="center"/>
          </w:tcPr>
          <w:p w14:paraId="29AEB7C3" w14:textId="2447196B" w:rsidR="00321B3D" w:rsidRPr="008D1E9D" w:rsidRDefault="00780F1F" w:rsidP="009A329B">
            <w:pPr>
              <w:spacing w:after="0" w:line="240" w:lineRule="auto"/>
              <w:jc w:val="center"/>
              <w:rPr>
                <w:b/>
                <w:sz w:val="28"/>
                <w:szCs w:val="28"/>
              </w:rPr>
            </w:pPr>
            <w:r>
              <w:rPr>
                <w:b/>
                <w:sz w:val="28"/>
                <w:szCs w:val="28"/>
              </w:rPr>
              <w:t>92.00</w:t>
            </w:r>
            <w:r w:rsidR="00362ABA">
              <w:rPr>
                <w:b/>
                <w:sz w:val="28"/>
                <w:szCs w:val="28"/>
              </w:rPr>
              <w:t>%</w:t>
            </w:r>
          </w:p>
        </w:tc>
        <w:tc>
          <w:tcPr>
            <w:tcW w:w="7801" w:type="dxa"/>
            <w:gridSpan w:val="2"/>
            <w:tcBorders>
              <w:top w:val="single" w:sz="4" w:space="0" w:color="auto"/>
              <w:left w:val="single" w:sz="4" w:space="0" w:color="auto"/>
              <w:bottom w:val="single" w:sz="4" w:space="0" w:color="auto"/>
              <w:right w:val="single" w:sz="4" w:space="0" w:color="auto"/>
            </w:tcBorders>
            <w:vAlign w:val="center"/>
          </w:tcPr>
          <w:p w14:paraId="2ECC8B82" w14:textId="641C1464" w:rsidR="00321B3D" w:rsidRDefault="00780F1F" w:rsidP="009A329B">
            <w:pPr>
              <w:spacing w:after="0" w:line="240" w:lineRule="auto"/>
              <w:jc w:val="center"/>
              <w:rPr>
                <w:b/>
                <w:sz w:val="28"/>
                <w:szCs w:val="28"/>
              </w:rPr>
            </w:pPr>
            <w:r>
              <w:rPr>
                <w:b/>
                <w:sz w:val="28"/>
                <w:szCs w:val="28"/>
              </w:rPr>
              <w:t>90.58</w:t>
            </w:r>
            <w:r w:rsidR="00362ABA">
              <w:rPr>
                <w:b/>
                <w:sz w:val="28"/>
                <w:szCs w:val="28"/>
              </w:rPr>
              <w:t>%</w:t>
            </w:r>
          </w:p>
        </w:tc>
      </w:tr>
      <w:tr w:rsidR="00DB7CC7" w14:paraId="42F679C2" w14:textId="77777777" w:rsidTr="007D475F">
        <w:trPr>
          <w:trHeight w:val="397"/>
          <w:jc w:val="center"/>
        </w:trPr>
        <w:tc>
          <w:tcPr>
            <w:tcW w:w="5665" w:type="dxa"/>
            <w:tcBorders>
              <w:top w:val="single" w:sz="4" w:space="0" w:color="auto"/>
              <w:left w:val="single" w:sz="4" w:space="0" w:color="auto"/>
              <w:bottom w:val="single" w:sz="4" w:space="0" w:color="auto"/>
              <w:right w:val="single" w:sz="4" w:space="0" w:color="auto"/>
            </w:tcBorders>
            <w:vAlign w:val="center"/>
          </w:tcPr>
          <w:p w14:paraId="35E141AA" w14:textId="3E214CDA" w:rsidR="00DB7CC7" w:rsidRPr="008D1E9D" w:rsidRDefault="00DB7CC7" w:rsidP="00362ABA">
            <w:pPr>
              <w:spacing w:after="0" w:line="240" w:lineRule="auto"/>
              <w:jc w:val="center"/>
              <w:rPr>
                <w:b/>
                <w:sz w:val="28"/>
                <w:szCs w:val="28"/>
              </w:rPr>
            </w:pPr>
            <w:r w:rsidRPr="008D1E9D">
              <w:rPr>
                <w:b/>
                <w:sz w:val="28"/>
                <w:szCs w:val="28"/>
              </w:rPr>
              <w:t>CHANGE 201</w:t>
            </w:r>
            <w:r w:rsidR="00362ABA">
              <w:rPr>
                <w:b/>
                <w:sz w:val="28"/>
                <w:szCs w:val="28"/>
              </w:rPr>
              <w:t>7</w:t>
            </w:r>
            <w:r w:rsidRPr="008D1E9D">
              <w:rPr>
                <w:b/>
                <w:sz w:val="28"/>
                <w:szCs w:val="28"/>
              </w:rPr>
              <w:t>/1</w:t>
            </w:r>
            <w:r w:rsidR="00362ABA">
              <w:rPr>
                <w:b/>
                <w:sz w:val="28"/>
                <w:szCs w:val="28"/>
              </w:rPr>
              <w:t>8</w:t>
            </w:r>
            <w:r w:rsidRPr="008D1E9D">
              <w:rPr>
                <w:b/>
                <w:sz w:val="28"/>
                <w:szCs w:val="28"/>
              </w:rPr>
              <w:t xml:space="preserve"> TO 201</w:t>
            </w:r>
            <w:r w:rsidR="00362ABA">
              <w:rPr>
                <w:b/>
                <w:sz w:val="28"/>
                <w:szCs w:val="28"/>
              </w:rPr>
              <w:t>8</w:t>
            </w:r>
            <w:r w:rsidRPr="008D1E9D">
              <w:rPr>
                <w:b/>
                <w:sz w:val="28"/>
                <w:szCs w:val="28"/>
              </w:rPr>
              <w:t>/1</w:t>
            </w:r>
            <w:r w:rsidR="00362ABA">
              <w:rPr>
                <w:b/>
                <w:sz w:val="28"/>
                <w:szCs w:val="28"/>
              </w:rPr>
              <w:t>9</w:t>
            </w:r>
          </w:p>
        </w:tc>
        <w:tc>
          <w:tcPr>
            <w:tcW w:w="1843" w:type="dxa"/>
            <w:tcBorders>
              <w:top w:val="single" w:sz="4" w:space="0" w:color="auto"/>
              <w:left w:val="single" w:sz="4" w:space="0" w:color="auto"/>
              <w:bottom w:val="single" w:sz="4" w:space="0" w:color="auto"/>
              <w:right w:val="single" w:sz="4" w:space="0" w:color="auto"/>
            </w:tcBorders>
            <w:vAlign w:val="center"/>
          </w:tcPr>
          <w:p w14:paraId="1DA0DA1F" w14:textId="7DA494B3" w:rsidR="00DB7CC7" w:rsidRPr="008D1E9D" w:rsidRDefault="00780F1F" w:rsidP="009A329B">
            <w:pPr>
              <w:spacing w:after="0" w:line="240" w:lineRule="auto"/>
              <w:jc w:val="center"/>
              <w:rPr>
                <w:b/>
                <w:sz w:val="28"/>
                <w:szCs w:val="28"/>
              </w:rPr>
            </w:pPr>
            <w:r>
              <w:rPr>
                <w:b/>
                <w:sz w:val="28"/>
                <w:szCs w:val="28"/>
              </w:rPr>
              <w:t>8</w:t>
            </w:r>
            <w:r w:rsidR="00362ABA">
              <w:rPr>
                <w:b/>
                <w:sz w:val="28"/>
                <w:szCs w:val="28"/>
              </w:rPr>
              <w:t>.00</w:t>
            </w:r>
            <w:r w:rsidR="00A640C4">
              <w:rPr>
                <w:b/>
                <w:sz w:val="28"/>
                <w:szCs w:val="28"/>
              </w:rPr>
              <w:t xml:space="preserve"> </w:t>
            </w:r>
            <w:r w:rsidR="00A640C4" w:rsidRPr="00EC5E64">
              <w:rPr>
                <w:b/>
                <w:color w:val="00B050"/>
                <w:sz w:val="28"/>
                <w:szCs w:val="28"/>
              </w:rPr>
              <w:sym w:font="Wingdings" w:char="F0E9"/>
            </w:r>
          </w:p>
        </w:tc>
        <w:tc>
          <w:tcPr>
            <w:tcW w:w="5954" w:type="dxa"/>
            <w:tcBorders>
              <w:top w:val="single" w:sz="4" w:space="0" w:color="auto"/>
              <w:left w:val="single" w:sz="4" w:space="0" w:color="auto"/>
              <w:bottom w:val="single" w:sz="4" w:space="0" w:color="auto"/>
              <w:right w:val="single" w:sz="4" w:space="0" w:color="auto"/>
            </w:tcBorders>
            <w:vAlign w:val="center"/>
          </w:tcPr>
          <w:p w14:paraId="3EDC960D" w14:textId="6F42BEF5" w:rsidR="00DB7CC7" w:rsidRPr="00561760" w:rsidRDefault="00DB7CC7" w:rsidP="00362ABA">
            <w:pPr>
              <w:spacing w:after="0" w:line="240" w:lineRule="auto"/>
              <w:jc w:val="center"/>
              <w:rPr>
                <w:sz w:val="28"/>
                <w:szCs w:val="28"/>
              </w:rPr>
            </w:pPr>
            <w:r>
              <w:rPr>
                <w:sz w:val="28"/>
                <w:szCs w:val="28"/>
              </w:rPr>
              <w:t>CHANGE 201</w:t>
            </w:r>
            <w:r w:rsidR="00362ABA">
              <w:rPr>
                <w:sz w:val="28"/>
                <w:szCs w:val="28"/>
              </w:rPr>
              <w:t>7</w:t>
            </w:r>
            <w:r>
              <w:rPr>
                <w:sz w:val="28"/>
                <w:szCs w:val="28"/>
              </w:rPr>
              <w:t>/1</w:t>
            </w:r>
            <w:r w:rsidR="00362ABA">
              <w:rPr>
                <w:sz w:val="28"/>
                <w:szCs w:val="28"/>
              </w:rPr>
              <w:t>8</w:t>
            </w:r>
            <w:r>
              <w:rPr>
                <w:sz w:val="28"/>
                <w:szCs w:val="28"/>
              </w:rPr>
              <w:t xml:space="preserve"> TO 201</w:t>
            </w:r>
            <w:r w:rsidR="00362ABA">
              <w:rPr>
                <w:sz w:val="28"/>
                <w:szCs w:val="28"/>
              </w:rPr>
              <w:t>8</w:t>
            </w:r>
            <w:r>
              <w:rPr>
                <w:sz w:val="28"/>
                <w:szCs w:val="28"/>
              </w:rPr>
              <w:t>/1</w:t>
            </w:r>
            <w:r w:rsidR="00362ABA">
              <w:rPr>
                <w:sz w:val="28"/>
                <w:szCs w:val="28"/>
              </w:rPr>
              <w:t>9</w:t>
            </w:r>
          </w:p>
        </w:tc>
        <w:tc>
          <w:tcPr>
            <w:tcW w:w="1847" w:type="dxa"/>
            <w:tcBorders>
              <w:top w:val="single" w:sz="4" w:space="0" w:color="auto"/>
              <w:left w:val="single" w:sz="4" w:space="0" w:color="auto"/>
              <w:bottom w:val="single" w:sz="4" w:space="0" w:color="auto"/>
              <w:right w:val="single" w:sz="4" w:space="0" w:color="auto"/>
            </w:tcBorders>
            <w:vAlign w:val="center"/>
          </w:tcPr>
          <w:p w14:paraId="2F7552CE" w14:textId="23889EEB" w:rsidR="00DB7CC7" w:rsidRPr="00A640C4" w:rsidRDefault="00A640C4" w:rsidP="009A329B">
            <w:pPr>
              <w:spacing w:after="0" w:line="240" w:lineRule="auto"/>
              <w:jc w:val="center"/>
              <w:rPr>
                <w:b/>
                <w:sz w:val="28"/>
                <w:szCs w:val="28"/>
              </w:rPr>
            </w:pPr>
            <w:r>
              <w:rPr>
                <w:sz w:val="28"/>
                <w:szCs w:val="28"/>
              </w:rPr>
              <w:t xml:space="preserve">0.22 </w:t>
            </w:r>
            <w:r w:rsidRPr="00EC5E64">
              <w:rPr>
                <w:b/>
                <w:color w:val="00B050"/>
                <w:sz w:val="28"/>
                <w:szCs w:val="28"/>
              </w:rPr>
              <w:sym w:font="Wingdings" w:char="F0E9"/>
            </w:r>
          </w:p>
        </w:tc>
      </w:tr>
      <w:tr w:rsidR="00DB7CC7" w14:paraId="7A96E14C" w14:textId="77777777" w:rsidTr="009C7F0A">
        <w:trPr>
          <w:trHeight w:val="397"/>
          <w:jc w:val="center"/>
        </w:trPr>
        <w:tc>
          <w:tcPr>
            <w:tcW w:w="5665" w:type="dxa"/>
            <w:tcBorders>
              <w:top w:val="single" w:sz="4" w:space="0" w:color="auto"/>
              <w:left w:val="single" w:sz="4" w:space="0" w:color="auto"/>
              <w:bottom w:val="single" w:sz="4" w:space="0" w:color="auto"/>
              <w:right w:val="single" w:sz="4" w:space="0" w:color="auto"/>
            </w:tcBorders>
            <w:vAlign w:val="center"/>
          </w:tcPr>
          <w:p w14:paraId="04A9E7EA" w14:textId="1E8E0C35" w:rsidR="00DB7CC7" w:rsidRPr="008D1E9D" w:rsidRDefault="00DB7CC7" w:rsidP="00CE472E">
            <w:pPr>
              <w:spacing w:after="0" w:line="240" w:lineRule="auto"/>
              <w:jc w:val="center"/>
              <w:rPr>
                <w:b/>
                <w:sz w:val="28"/>
                <w:szCs w:val="28"/>
              </w:rPr>
            </w:pPr>
            <w:r w:rsidRPr="008D1E9D">
              <w:rPr>
                <w:b/>
                <w:sz w:val="28"/>
                <w:szCs w:val="28"/>
              </w:rPr>
              <w:t>CHANGE BASE YEAR TO 201</w:t>
            </w:r>
            <w:r w:rsidR="00CE472E">
              <w:rPr>
                <w:b/>
                <w:sz w:val="28"/>
                <w:szCs w:val="28"/>
              </w:rPr>
              <w:t>8</w:t>
            </w:r>
            <w:r w:rsidRPr="008D1E9D">
              <w:rPr>
                <w:b/>
                <w:sz w:val="28"/>
                <w:szCs w:val="28"/>
              </w:rPr>
              <w:t>/1</w:t>
            </w:r>
            <w:r w:rsidR="00CE472E">
              <w:rPr>
                <w:b/>
                <w:sz w:val="28"/>
                <w:szCs w:val="28"/>
              </w:rPr>
              <w:t>9</w:t>
            </w:r>
          </w:p>
        </w:tc>
        <w:tc>
          <w:tcPr>
            <w:tcW w:w="1843" w:type="dxa"/>
            <w:tcBorders>
              <w:top w:val="single" w:sz="4" w:space="0" w:color="auto"/>
              <w:left w:val="single" w:sz="4" w:space="0" w:color="auto"/>
              <w:bottom w:val="single" w:sz="4" w:space="0" w:color="auto"/>
              <w:right w:val="single" w:sz="4" w:space="0" w:color="auto"/>
            </w:tcBorders>
            <w:vAlign w:val="center"/>
          </w:tcPr>
          <w:p w14:paraId="0532A6B9" w14:textId="7441D0DA" w:rsidR="00DB7CC7" w:rsidRPr="008D1E9D" w:rsidRDefault="00780F1F" w:rsidP="009A329B">
            <w:pPr>
              <w:spacing w:after="0" w:line="240" w:lineRule="auto"/>
              <w:jc w:val="center"/>
              <w:rPr>
                <w:b/>
                <w:sz w:val="28"/>
                <w:szCs w:val="28"/>
              </w:rPr>
            </w:pPr>
            <w:r>
              <w:rPr>
                <w:b/>
                <w:sz w:val="28"/>
                <w:szCs w:val="28"/>
              </w:rPr>
              <w:t>6.29</w:t>
            </w:r>
            <w:r w:rsidR="00A640C4">
              <w:rPr>
                <w:b/>
                <w:sz w:val="28"/>
                <w:szCs w:val="28"/>
              </w:rPr>
              <w:t xml:space="preserve"> </w:t>
            </w:r>
            <w:r w:rsidR="00A640C4" w:rsidRPr="00EC5E64">
              <w:rPr>
                <w:b/>
                <w:color w:val="00B050"/>
                <w:sz w:val="28"/>
                <w:szCs w:val="28"/>
              </w:rPr>
              <w:sym w:font="Wingdings" w:char="F0E9"/>
            </w:r>
          </w:p>
        </w:tc>
        <w:tc>
          <w:tcPr>
            <w:tcW w:w="5954" w:type="dxa"/>
            <w:tcBorders>
              <w:top w:val="single" w:sz="4" w:space="0" w:color="auto"/>
              <w:left w:val="single" w:sz="4" w:space="0" w:color="auto"/>
              <w:bottom w:val="single" w:sz="4" w:space="0" w:color="auto"/>
              <w:right w:val="single" w:sz="4" w:space="0" w:color="auto"/>
            </w:tcBorders>
            <w:vAlign w:val="center"/>
          </w:tcPr>
          <w:p w14:paraId="0332A8DB" w14:textId="6EA4AA2C" w:rsidR="00DB7CC7" w:rsidRPr="00561760" w:rsidRDefault="00DB7CC7" w:rsidP="00CE472E">
            <w:pPr>
              <w:spacing w:after="0" w:line="240" w:lineRule="auto"/>
              <w:jc w:val="center"/>
              <w:rPr>
                <w:sz w:val="28"/>
                <w:szCs w:val="28"/>
              </w:rPr>
            </w:pPr>
            <w:r>
              <w:rPr>
                <w:sz w:val="28"/>
                <w:szCs w:val="28"/>
              </w:rPr>
              <w:t>CHANGE BASE YEAR TO 201</w:t>
            </w:r>
            <w:r w:rsidR="00CE472E">
              <w:rPr>
                <w:sz w:val="28"/>
                <w:szCs w:val="28"/>
              </w:rPr>
              <w:t>8</w:t>
            </w:r>
            <w:r>
              <w:rPr>
                <w:sz w:val="28"/>
                <w:szCs w:val="28"/>
              </w:rPr>
              <w:t>/1</w:t>
            </w:r>
            <w:r w:rsidR="00CE472E">
              <w:rPr>
                <w:sz w:val="28"/>
                <w:szCs w:val="28"/>
              </w:rPr>
              <w:t>9</w:t>
            </w:r>
          </w:p>
        </w:tc>
        <w:tc>
          <w:tcPr>
            <w:tcW w:w="1847" w:type="dxa"/>
            <w:tcBorders>
              <w:top w:val="single" w:sz="4" w:space="0" w:color="auto"/>
              <w:left w:val="single" w:sz="4" w:space="0" w:color="auto"/>
              <w:bottom w:val="single" w:sz="4" w:space="0" w:color="auto"/>
              <w:right w:val="single" w:sz="4" w:space="0" w:color="auto"/>
            </w:tcBorders>
            <w:vAlign w:val="center"/>
          </w:tcPr>
          <w:p w14:paraId="49847C06" w14:textId="1CECD098" w:rsidR="00DB7CC7" w:rsidRPr="00A640C4" w:rsidRDefault="00A640C4" w:rsidP="009A329B">
            <w:pPr>
              <w:spacing w:after="0" w:line="240" w:lineRule="auto"/>
              <w:jc w:val="center"/>
              <w:rPr>
                <w:b/>
                <w:sz w:val="28"/>
                <w:szCs w:val="28"/>
              </w:rPr>
            </w:pPr>
            <w:r>
              <w:rPr>
                <w:sz w:val="28"/>
                <w:szCs w:val="28"/>
              </w:rPr>
              <w:t xml:space="preserve">-1.08 </w:t>
            </w:r>
            <w:r w:rsidRPr="00C14931">
              <w:rPr>
                <w:b/>
                <w:color w:val="FF0000"/>
                <w:sz w:val="28"/>
                <w:szCs w:val="28"/>
              </w:rPr>
              <w:sym w:font="Wingdings" w:char="F0EA"/>
            </w:r>
          </w:p>
        </w:tc>
      </w:tr>
      <w:tr w:rsidR="00DB7CC7" w14:paraId="55BEF596" w14:textId="77777777" w:rsidTr="00B318EA">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vAlign w:val="center"/>
          </w:tcPr>
          <w:p w14:paraId="094E1FC4" w14:textId="4E93FDC5" w:rsidR="00DB7CC7" w:rsidRPr="008D1E9D" w:rsidRDefault="00DB7CC7" w:rsidP="00CE472E">
            <w:pPr>
              <w:spacing w:after="0" w:line="240" w:lineRule="auto"/>
              <w:jc w:val="center"/>
              <w:rPr>
                <w:b/>
                <w:sz w:val="28"/>
                <w:szCs w:val="28"/>
              </w:rPr>
            </w:pPr>
            <w:r w:rsidRPr="008D1E9D">
              <w:rPr>
                <w:b/>
                <w:sz w:val="28"/>
                <w:szCs w:val="28"/>
              </w:rPr>
              <w:t>RANK POSITION</w:t>
            </w:r>
            <w:r w:rsidRPr="00005D0F">
              <w:rPr>
                <w:b/>
                <w:sz w:val="28"/>
                <w:szCs w:val="28"/>
              </w:rPr>
              <w:t>:</w:t>
            </w:r>
            <w:r w:rsidR="00513443" w:rsidRPr="00780F1F">
              <w:rPr>
                <w:b/>
                <w:sz w:val="28"/>
                <w:szCs w:val="28"/>
              </w:rPr>
              <w:t xml:space="preserve">  </w:t>
            </w:r>
            <w:r w:rsidR="00780F1F">
              <w:rPr>
                <w:b/>
                <w:sz w:val="28"/>
                <w:szCs w:val="28"/>
              </w:rPr>
              <w:t>19</w:t>
            </w:r>
            <w:r w:rsidR="00513443" w:rsidRPr="00780F1F">
              <w:rPr>
                <w:b/>
                <w:sz w:val="28"/>
                <w:szCs w:val="28"/>
              </w:rPr>
              <w:t xml:space="preserve">  </w:t>
            </w:r>
            <w:r w:rsidRPr="008D1E9D">
              <w:rPr>
                <w:b/>
                <w:sz w:val="28"/>
                <w:szCs w:val="28"/>
              </w:rPr>
              <w:t xml:space="preserve">RANK MOVEMENT: </w:t>
            </w:r>
            <w:r w:rsidR="00780F1F">
              <w:rPr>
                <w:b/>
                <w:sz w:val="28"/>
                <w:szCs w:val="28"/>
              </w:rPr>
              <w:t>9</w:t>
            </w:r>
            <w:r w:rsidR="00A640C4">
              <w:rPr>
                <w:b/>
                <w:sz w:val="28"/>
                <w:szCs w:val="28"/>
              </w:rPr>
              <w:t xml:space="preserve"> </w:t>
            </w:r>
            <w:r w:rsidR="00A640C4" w:rsidRPr="00EC5E64">
              <w:rPr>
                <w:b/>
                <w:color w:val="00B050"/>
                <w:sz w:val="28"/>
                <w:szCs w:val="28"/>
              </w:rPr>
              <w:sym w:font="Wingdings" w:char="F0E9"/>
            </w:r>
          </w:p>
        </w:tc>
        <w:tc>
          <w:tcPr>
            <w:tcW w:w="780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15255F1F" w14:textId="77777777" w:rsidR="00DB7CC7" w:rsidRPr="00561760" w:rsidRDefault="00DB7CC7" w:rsidP="009A329B">
            <w:pPr>
              <w:spacing w:after="0" w:line="240" w:lineRule="auto"/>
              <w:rPr>
                <w:sz w:val="28"/>
                <w:szCs w:val="28"/>
              </w:rPr>
            </w:pPr>
          </w:p>
        </w:tc>
      </w:tr>
      <w:tr w:rsidR="00396455" w14:paraId="09324440" w14:textId="77777777" w:rsidTr="00B318EA">
        <w:trPr>
          <w:trHeight w:val="397"/>
          <w:jc w:val="center"/>
        </w:trPr>
        <w:tc>
          <w:tcPr>
            <w:tcW w:w="7508"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19E066B8" w14:textId="040F7E68" w:rsidR="00396455" w:rsidRPr="008D1E9D" w:rsidRDefault="009C7F0A" w:rsidP="00CE472E">
            <w:pPr>
              <w:spacing w:after="0" w:line="240" w:lineRule="auto"/>
              <w:jc w:val="center"/>
              <w:rPr>
                <w:b/>
                <w:sz w:val="28"/>
                <w:szCs w:val="28"/>
              </w:rPr>
            </w:pPr>
            <w:r>
              <w:rPr>
                <w:b/>
                <w:sz w:val="28"/>
                <w:szCs w:val="28"/>
              </w:rPr>
              <w:t>FAMILY GROUP RANKING 201</w:t>
            </w:r>
            <w:r w:rsidR="00CE472E">
              <w:rPr>
                <w:b/>
                <w:sz w:val="28"/>
                <w:szCs w:val="28"/>
              </w:rPr>
              <w:t>8</w:t>
            </w:r>
            <w:r>
              <w:rPr>
                <w:b/>
                <w:sz w:val="28"/>
                <w:szCs w:val="28"/>
              </w:rPr>
              <w:t>/1</w:t>
            </w:r>
            <w:r w:rsidR="00CE472E">
              <w:rPr>
                <w:b/>
                <w:sz w:val="28"/>
                <w:szCs w:val="28"/>
              </w:rPr>
              <w:t>9</w:t>
            </w:r>
          </w:p>
        </w:tc>
        <w:tc>
          <w:tcPr>
            <w:tcW w:w="7801" w:type="dxa"/>
            <w:gridSpan w:val="2"/>
            <w:tcBorders>
              <w:left w:val="single" w:sz="4" w:space="0" w:color="auto"/>
              <w:right w:val="single" w:sz="4" w:space="0" w:color="auto"/>
            </w:tcBorders>
            <w:shd w:val="clear" w:color="auto" w:fill="D9D9D9" w:themeFill="background1" w:themeFillShade="D9"/>
            <w:vAlign w:val="center"/>
          </w:tcPr>
          <w:p w14:paraId="50D1518C" w14:textId="77777777" w:rsidR="00396455" w:rsidRPr="00561760" w:rsidRDefault="00396455" w:rsidP="009A329B">
            <w:pPr>
              <w:spacing w:after="0" w:line="240" w:lineRule="auto"/>
              <w:rPr>
                <w:sz w:val="28"/>
                <w:szCs w:val="28"/>
              </w:rPr>
            </w:pPr>
          </w:p>
        </w:tc>
      </w:tr>
      <w:tr w:rsidR="009C7F0A" w14:paraId="422802FE" w14:textId="77777777" w:rsidTr="00B318EA">
        <w:trPr>
          <w:trHeight w:val="397"/>
          <w:jc w:val="center"/>
        </w:trPr>
        <w:tc>
          <w:tcPr>
            <w:tcW w:w="7508" w:type="dxa"/>
            <w:gridSpan w:val="2"/>
            <w:tcBorders>
              <w:left w:val="single" w:sz="4" w:space="0" w:color="auto"/>
              <w:bottom w:val="single" w:sz="4" w:space="0" w:color="auto"/>
              <w:right w:val="single" w:sz="4" w:space="0" w:color="auto"/>
            </w:tcBorders>
            <w:shd w:val="clear" w:color="auto" w:fill="D9E2F3" w:themeFill="accent5" w:themeFillTint="33"/>
            <w:vAlign w:val="center"/>
          </w:tcPr>
          <w:p w14:paraId="6870FD4D" w14:textId="7E418529" w:rsidR="009C7F0A" w:rsidRDefault="009C7F0A" w:rsidP="00CE472E">
            <w:pPr>
              <w:spacing w:after="0" w:line="240" w:lineRule="auto"/>
              <w:jc w:val="center"/>
              <w:rPr>
                <w:b/>
                <w:sz w:val="28"/>
                <w:szCs w:val="28"/>
              </w:rPr>
            </w:pPr>
            <w:r>
              <w:rPr>
                <w:b/>
                <w:sz w:val="28"/>
                <w:szCs w:val="28"/>
              </w:rPr>
              <w:t>RANK POSITION:</w:t>
            </w:r>
            <w:r w:rsidR="00FD1CF1">
              <w:rPr>
                <w:b/>
                <w:sz w:val="28"/>
                <w:szCs w:val="28"/>
              </w:rPr>
              <w:t xml:space="preserve">  </w:t>
            </w:r>
            <w:r w:rsidR="00780F1F">
              <w:rPr>
                <w:b/>
                <w:sz w:val="28"/>
                <w:szCs w:val="28"/>
              </w:rPr>
              <w:t>4</w:t>
            </w:r>
            <w:r w:rsidR="00FD1CF1">
              <w:rPr>
                <w:b/>
                <w:sz w:val="28"/>
                <w:szCs w:val="28"/>
              </w:rPr>
              <w:t xml:space="preserve">  </w:t>
            </w:r>
            <w:r>
              <w:rPr>
                <w:b/>
                <w:sz w:val="28"/>
                <w:szCs w:val="28"/>
              </w:rPr>
              <w:t xml:space="preserve">RANK MOVEMENT: </w:t>
            </w:r>
            <w:r w:rsidR="00780F1F">
              <w:rPr>
                <w:b/>
                <w:sz w:val="28"/>
                <w:szCs w:val="28"/>
              </w:rPr>
              <w:t>2</w:t>
            </w:r>
            <w:r w:rsidR="00A640C4">
              <w:rPr>
                <w:b/>
                <w:sz w:val="28"/>
                <w:szCs w:val="28"/>
              </w:rPr>
              <w:t xml:space="preserve"> </w:t>
            </w:r>
            <w:r w:rsidR="00A640C4" w:rsidRPr="00EC5E64">
              <w:rPr>
                <w:b/>
                <w:color w:val="00B050"/>
                <w:sz w:val="28"/>
                <w:szCs w:val="28"/>
              </w:rPr>
              <w:sym w:font="Wingdings" w:char="F0E9"/>
            </w:r>
          </w:p>
        </w:tc>
        <w:tc>
          <w:tcPr>
            <w:tcW w:w="7801"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51B259B3" w14:textId="77777777" w:rsidR="009C7F0A" w:rsidRPr="00561760" w:rsidRDefault="009C7F0A" w:rsidP="009A329B">
            <w:pPr>
              <w:spacing w:after="0" w:line="240" w:lineRule="auto"/>
              <w:rPr>
                <w:sz w:val="28"/>
                <w:szCs w:val="28"/>
              </w:rPr>
            </w:pPr>
          </w:p>
        </w:tc>
      </w:tr>
      <w:tr w:rsidR="00DB7CC7" w14:paraId="0C7B7E60" w14:textId="77777777" w:rsidTr="003C009A">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14079162" w14:textId="66F738AD" w:rsidR="009C7F0A" w:rsidRPr="009C7F0A" w:rsidRDefault="009C7F0A" w:rsidP="009A329B">
            <w:pPr>
              <w:spacing w:after="0" w:line="240" w:lineRule="auto"/>
              <w:rPr>
                <w:sz w:val="6"/>
                <w:szCs w:val="6"/>
              </w:rPr>
            </w:pPr>
          </w:p>
          <w:p w14:paraId="01611E8B" w14:textId="77777777" w:rsidR="00DB7CC7" w:rsidRDefault="00DB7CC7" w:rsidP="000F4CDF">
            <w:pPr>
              <w:spacing w:after="120" w:line="240" w:lineRule="auto"/>
              <w:rPr>
                <w:b/>
                <w:sz w:val="28"/>
                <w:szCs w:val="28"/>
              </w:rPr>
            </w:pPr>
            <w:r>
              <w:rPr>
                <w:b/>
                <w:sz w:val="28"/>
                <w:szCs w:val="28"/>
              </w:rPr>
              <w:t>TELLING OUR STORY</w:t>
            </w:r>
            <w:r w:rsidRPr="00F16CDA">
              <w:rPr>
                <w:b/>
                <w:sz w:val="28"/>
                <w:szCs w:val="28"/>
              </w:rPr>
              <w:t>:</w:t>
            </w:r>
          </w:p>
          <w:p w14:paraId="071231AC" w14:textId="77777777" w:rsidR="00A2613D" w:rsidRPr="006805F1" w:rsidRDefault="00A2613D" w:rsidP="000F4CDF">
            <w:pPr>
              <w:spacing w:after="120" w:line="240" w:lineRule="auto"/>
              <w:rPr>
                <w:sz w:val="24"/>
                <w:szCs w:val="24"/>
              </w:rPr>
            </w:pPr>
            <w:r w:rsidRPr="006805F1">
              <w:rPr>
                <w:sz w:val="24"/>
                <w:szCs w:val="24"/>
              </w:rPr>
              <w:t xml:space="preserve">Performance has increased by 8 percentage points leading to an increase in rank position of 9. </w:t>
            </w:r>
          </w:p>
          <w:p w14:paraId="60084ADB" w14:textId="77777777" w:rsidR="00A2613D" w:rsidRPr="006805F1" w:rsidRDefault="00A2613D" w:rsidP="000F4CDF">
            <w:pPr>
              <w:spacing w:after="120" w:line="240" w:lineRule="auto"/>
              <w:rPr>
                <w:sz w:val="24"/>
                <w:szCs w:val="24"/>
              </w:rPr>
            </w:pPr>
            <w:r w:rsidRPr="006805F1">
              <w:rPr>
                <w:sz w:val="24"/>
                <w:szCs w:val="24"/>
              </w:rPr>
              <w:t>There has been significant support and investment across our Early Years estate to ensure we are delivering quality learning environments. There was an increase in the uptake of professional learning opportunities.</w:t>
            </w:r>
          </w:p>
          <w:p w14:paraId="109C0084" w14:textId="004BA9C1" w:rsidR="000904F4" w:rsidRPr="001453C3" w:rsidRDefault="000904F4" w:rsidP="000F4CDF">
            <w:pPr>
              <w:spacing w:after="120" w:line="240" w:lineRule="auto"/>
              <w:rPr>
                <w:sz w:val="24"/>
                <w:szCs w:val="24"/>
              </w:rPr>
            </w:pPr>
            <w:r w:rsidRPr="001453C3">
              <w:rPr>
                <w:sz w:val="24"/>
                <w:szCs w:val="24"/>
              </w:rPr>
              <w:t>Year on year performance for Argyll and Bute improved between 2017/18 (84%) and 2018/19 (92%).</w:t>
            </w:r>
          </w:p>
          <w:p w14:paraId="477B4010" w14:textId="4E1EEF12" w:rsidR="000904F4" w:rsidRPr="001453C3" w:rsidRDefault="000904F4" w:rsidP="000F4CDF">
            <w:pPr>
              <w:spacing w:after="120" w:line="240" w:lineRule="auto"/>
              <w:rPr>
                <w:rFonts w:cstheme="minorHAnsi"/>
                <w:sz w:val="24"/>
                <w:szCs w:val="24"/>
              </w:rPr>
            </w:pPr>
            <w:r w:rsidRPr="001453C3">
              <w:rPr>
                <w:sz w:val="24"/>
                <w:szCs w:val="24"/>
              </w:rPr>
              <w:t xml:space="preserve">This is in line with predictions made in last year's report, where it was noted </w:t>
            </w:r>
            <w:r w:rsidRPr="001453C3">
              <w:rPr>
                <w:rFonts w:cstheme="minorHAnsi"/>
                <w:sz w:val="24"/>
                <w:szCs w:val="24"/>
              </w:rPr>
              <w:t xml:space="preserve">that learning and development visits were ensuring that quality in settings were improving along with learners’ experiences, and this was leading to an increase in the number of setting achieving gradings of good or better. Improvement in performance were also anticipated in light of significant investment in both indoor and outdoor environments and in LA and funded partner establishments. The creation of a supply list and investment in recruitment was also leading to more practitioners attending training. </w:t>
            </w:r>
          </w:p>
          <w:p w14:paraId="195928B6" w14:textId="77777777" w:rsidR="009C7F0A" w:rsidRPr="00290AB0" w:rsidRDefault="009C7F0A" w:rsidP="00CE472E">
            <w:pPr>
              <w:spacing w:after="0" w:line="240" w:lineRule="auto"/>
              <w:rPr>
                <w:rFonts w:ascii="Arial" w:hAnsi="Arial" w:cs="Arial"/>
                <w:szCs w:val="24"/>
              </w:rPr>
            </w:pPr>
          </w:p>
        </w:tc>
      </w:tr>
      <w:tr w:rsidR="00DB7CC7" w14:paraId="7F910578" w14:textId="77777777" w:rsidTr="003C009A">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78ABDB73" w14:textId="77777777" w:rsidR="009C7F0A" w:rsidRPr="009C7F0A" w:rsidRDefault="009C7F0A" w:rsidP="009A329B">
            <w:pPr>
              <w:spacing w:after="0" w:line="240" w:lineRule="auto"/>
              <w:rPr>
                <w:sz w:val="6"/>
                <w:szCs w:val="6"/>
              </w:rPr>
            </w:pPr>
          </w:p>
          <w:p w14:paraId="740EBBEB" w14:textId="77777777" w:rsidR="00DB7CC7" w:rsidRDefault="00232953" w:rsidP="000F4CDF">
            <w:pPr>
              <w:spacing w:after="120" w:line="240" w:lineRule="auto"/>
              <w:rPr>
                <w:b/>
                <w:sz w:val="28"/>
                <w:szCs w:val="28"/>
              </w:rPr>
            </w:pPr>
            <w:r>
              <w:rPr>
                <w:b/>
                <w:sz w:val="28"/>
                <w:szCs w:val="28"/>
              </w:rPr>
              <w:t>LOOKING FORWARD - EXPECTED IMPACT ON INDICATOR</w:t>
            </w:r>
            <w:r w:rsidR="00DB7CC7">
              <w:rPr>
                <w:b/>
                <w:sz w:val="28"/>
                <w:szCs w:val="28"/>
              </w:rPr>
              <w:t>:</w:t>
            </w:r>
          </w:p>
          <w:p w14:paraId="244ED6BE" w14:textId="5688183B" w:rsidR="00290AB0" w:rsidRPr="00290AB0" w:rsidRDefault="00A2613D" w:rsidP="000F4CDF">
            <w:pPr>
              <w:spacing w:after="120" w:line="240" w:lineRule="auto"/>
              <w:rPr>
                <w:rFonts w:ascii="Arial" w:hAnsi="Arial" w:cs="Arial"/>
                <w:szCs w:val="28"/>
              </w:rPr>
            </w:pPr>
            <w:r w:rsidRPr="006805F1">
              <w:rPr>
                <w:sz w:val="24"/>
                <w:szCs w:val="24"/>
              </w:rPr>
              <w:t xml:space="preserve">There will be continued investment in the Early Years Estate. Learning and Development visits will be prioritised to settings underperforming. There will be a focus by Excellence and Equity Leads on delivering training in learning outdoors and improving practitioner engagement with children. </w:t>
            </w:r>
          </w:p>
        </w:tc>
      </w:tr>
    </w:tbl>
    <w:p w14:paraId="4F8BB95C" w14:textId="0F796311" w:rsidR="007D1A9D" w:rsidRDefault="007D1A9D"/>
    <w:tbl>
      <w:tblPr>
        <w:tblW w:w="15309" w:type="dxa"/>
        <w:jc w:val="center"/>
        <w:tblLook w:val="04A0" w:firstRow="1" w:lastRow="0" w:firstColumn="1" w:lastColumn="0" w:noHBand="0" w:noVBand="1"/>
      </w:tblPr>
      <w:tblGrid>
        <w:gridCol w:w="5807"/>
        <w:gridCol w:w="1701"/>
        <w:gridCol w:w="5670"/>
        <w:gridCol w:w="2131"/>
      </w:tblGrid>
      <w:tr w:rsidR="00A376C3" w:rsidRPr="005D65E6" w14:paraId="022A2911" w14:textId="77777777" w:rsidTr="00A376C3">
        <w:trPr>
          <w:trHeight w:val="79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7C55C9C3" w14:textId="77777777" w:rsidR="00A376C3" w:rsidRPr="005D65E6" w:rsidRDefault="00A376C3" w:rsidP="005D65E6">
            <w:pPr>
              <w:rPr>
                <w:b/>
                <w:sz w:val="32"/>
                <w:szCs w:val="32"/>
              </w:rPr>
            </w:pPr>
            <w:r w:rsidRPr="005D65E6">
              <w:rPr>
                <w:b/>
                <w:sz w:val="32"/>
                <w:szCs w:val="32"/>
              </w:rPr>
              <w:t>SERVICE: EDUCATION</w:t>
            </w:r>
          </w:p>
        </w:tc>
      </w:tr>
      <w:tr w:rsidR="00C253BA" w:rsidRPr="00396455" w14:paraId="1D017100" w14:textId="77777777" w:rsidTr="009C7F0A">
        <w:trPr>
          <w:trHeight w:val="567"/>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267621F5" w14:textId="219731A1" w:rsidR="00C253BA" w:rsidRPr="00396455" w:rsidRDefault="00C253BA" w:rsidP="009A329B">
            <w:pPr>
              <w:pStyle w:val="Heading1"/>
              <w:spacing w:before="0" w:line="240" w:lineRule="auto"/>
              <w:rPr>
                <w:b/>
                <w:color w:val="auto"/>
              </w:rPr>
            </w:pPr>
            <w:bookmarkStart w:id="7" w:name="_Toc56757685"/>
            <w:r w:rsidRPr="00396455">
              <w:rPr>
                <w:b/>
                <w:color w:val="auto"/>
              </w:rPr>
              <w:t xml:space="preserve">INDICATOR REF: CHN19a - School </w:t>
            </w:r>
            <w:r w:rsidR="002E68F4" w:rsidRPr="00396455">
              <w:rPr>
                <w:b/>
                <w:color w:val="auto"/>
              </w:rPr>
              <w:t xml:space="preserve">attendance rates </w:t>
            </w:r>
            <w:r w:rsidR="00B41F29" w:rsidRPr="00396455">
              <w:rPr>
                <w:b/>
                <w:color w:val="auto"/>
              </w:rPr>
              <w:t>(per 100 pupils)</w:t>
            </w:r>
            <w:bookmarkEnd w:id="7"/>
            <w:r w:rsidR="00E10B0A" w:rsidRPr="00396455">
              <w:rPr>
                <w:b/>
                <w:color w:val="auto"/>
              </w:rPr>
              <w:t xml:space="preserve"> </w:t>
            </w:r>
          </w:p>
        </w:tc>
      </w:tr>
      <w:tr w:rsidR="003E452D" w14:paraId="797A9BDB" w14:textId="77777777" w:rsidTr="009C7F0A">
        <w:trPr>
          <w:trHeight w:val="45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5B58D1EF" w14:textId="08E2A6EC" w:rsidR="003E452D" w:rsidRPr="0058165C" w:rsidRDefault="003E452D" w:rsidP="00CE472E">
            <w:pPr>
              <w:spacing w:after="0" w:line="240" w:lineRule="auto"/>
              <w:jc w:val="center"/>
              <w:rPr>
                <w:b/>
                <w:color w:val="0070C0"/>
                <w:sz w:val="28"/>
                <w:szCs w:val="28"/>
              </w:rPr>
            </w:pPr>
            <w:r w:rsidRPr="00C577BD">
              <w:rPr>
                <w:b/>
                <w:color w:val="0070C0"/>
                <w:sz w:val="28"/>
                <w:szCs w:val="28"/>
              </w:rPr>
              <w:t>Performance Range:</w:t>
            </w:r>
            <w:r w:rsidR="0058165C" w:rsidRPr="004C7782">
              <w:rPr>
                <w:b/>
                <w:color w:val="0070C0"/>
                <w:sz w:val="28"/>
                <w:szCs w:val="28"/>
              </w:rPr>
              <w:t xml:space="preserve"> </w:t>
            </w:r>
            <w:r w:rsidR="00780F1F">
              <w:rPr>
                <w:b/>
                <w:color w:val="0070C0"/>
                <w:sz w:val="28"/>
                <w:szCs w:val="28"/>
              </w:rPr>
              <w:t>91.22</w:t>
            </w:r>
            <w:r w:rsidR="0058165C">
              <w:rPr>
                <w:b/>
                <w:color w:val="0070C0"/>
                <w:sz w:val="28"/>
                <w:szCs w:val="28"/>
              </w:rPr>
              <w:t xml:space="preserve">% to </w:t>
            </w:r>
            <w:r w:rsidR="00780F1F">
              <w:rPr>
                <w:b/>
                <w:color w:val="0070C0"/>
                <w:sz w:val="28"/>
                <w:szCs w:val="28"/>
              </w:rPr>
              <w:t>95.21</w:t>
            </w:r>
            <w:r w:rsidR="0058165C">
              <w:rPr>
                <w:b/>
                <w:color w:val="0070C0"/>
                <w:sz w:val="28"/>
                <w:szCs w:val="28"/>
              </w:rPr>
              <w:t>%</w:t>
            </w:r>
            <w:r w:rsidR="005E2139">
              <w:rPr>
                <w:b/>
                <w:color w:val="0070C0"/>
                <w:sz w:val="28"/>
                <w:szCs w:val="28"/>
              </w:rPr>
              <w:t xml:space="preserve">  </w:t>
            </w:r>
            <w:r w:rsidR="005E2139" w:rsidRPr="005E2139">
              <w:rPr>
                <w:b/>
                <w:color w:val="0070C0"/>
                <w:sz w:val="28"/>
                <w:szCs w:val="28"/>
              </w:rPr>
              <w:t>(Highest is best)</w:t>
            </w:r>
          </w:p>
        </w:tc>
      </w:tr>
      <w:tr w:rsidR="00321B3D" w14:paraId="2DE44D18" w14:textId="77777777" w:rsidTr="009C7F0A">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FBA1F2F" w14:textId="77777777" w:rsidR="00321B3D" w:rsidRDefault="00321B3D" w:rsidP="009A329B">
            <w:pPr>
              <w:spacing w:after="0" w:line="240" w:lineRule="auto"/>
              <w:jc w:val="center"/>
              <w:rPr>
                <w:b/>
                <w:sz w:val="28"/>
                <w:szCs w:val="28"/>
              </w:rPr>
            </w:pPr>
            <w:r>
              <w:rPr>
                <w:b/>
                <w:sz w:val="28"/>
                <w:szCs w:val="28"/>
              </w:rPr>
              <w:t>ARGYLL AND BUTE</w:t>
            </w:r>
          </w:p>
        </w:tc>
        <w:tc>
          <w:tcPr>
            <w:tcW w:w="780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24B4D60" w14:textId="77777777" w:rsidR="00321B3D" w:rsidRDefault="00321B3D" w:rsidP="009A329B">
            <w:pPr>
              <w:spacing w:after="0" w:line="240" w:lineRule="auto"/>
              <w:jc w:val="center"/>
              <w:rPr>
                <w:b/>
                <w:sz w:val="28"/>
                <w:szCs w:val="28"/>
              </w:rPr>
            </w:pPr>
            <w:r>
              <w:rPr>
                <w:b/>
                <w:sz w:val="28"/>
                <w:szCs w:val="28"/>
              </w:rPr>
              <w:t>SCOTLAND</w:t>
            </w:r>
          </w:p>
        </w:tc>
      </w:tr>
      <w:tr w:rsidR="00321B3D" w14:paraId="646FFF70" w14:textId="77777777" w:rsidTr="009C7F0A">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vAlign w:val="center"/>
          </w:tcPr>
          <w:p w14:paraId="2A6E56CE" w14:textId="7A2A5D69" w:rsidR="00321B3D" w:rsidRPr="008D1E9D" w:rsidRDefault="00780F1F" w:rsidP="009A329B">
            <w:pPr>
              <w:spacing w:after="0" w:line="240" w:lineRule="auto"/>
              <w:jc w:val="center"/>
              <w:rPr>
                <w:b/>
                <w:sz w:val="28"/>
                <w:szCs w:val="28"/>
              </w:rPr>
            </w:pPr>
            <w:r>
              <w:rPr>
                <w:b/>
                <w:sz w:val="28"/>
                <w:szCs w:val="28"/>
              </w:rPr>
              <w:t>93.52</w:t>
            </w:r>
            <w:r w:rsidR="00CE472E">
              <w:rPr>
                <w:b/>
                <w:sz w:val="28"/>
                <w:szCs w:val="28"/>
              </w:rPr>
              <w:t>%</w:t>
            </w:r>
          </w:p>
        </w:tc>
        <w:tc>
          <w:tcPr>
            <w:tcW w:w="7801" w:type="dxa"/>
            <w:gridSpan w:val="2"/>
            <w:tcBorders>
              <w:top w:val="single" w:sz="4" w:space="0" w:color="auto"/>
              <w:left w:val="single" w:sz="4" w:space="0" w:color="auto"/>
              <w:bottom w:val="single" w:sz="4" w:space="0" w:color="auto"/>
              <w:right w:val="single" w:sz="4" w:space="0" w:color="auto"/>
            </w:tcBorders>
            <w:vAlign w:val="center"/>
          </w:tcPr>
          <w:p w14:paraId="6604E271" w14:textId="6576810F" w:rsidR="00321B3D" w:rsidRPr="00EC5E64" w:rsidRDefault="00C10F37" w:rsidP="009A329B">
            <w:pPr>
              <w:spacing w:after="0" w:line="240" w:lineRule="auto"/>
              <w:jc w:val="center"/>
              <w:rPr>
                <w:b/>
                <w:sz w:val="28"/>
                <w:szCs w:val="28"/>
              </w:rPr>
            </w:pPr>
            <w:r>
              <w:rPr>
                <w:b/>
                <w:sz w:val="28"/>
                <w:szCs w:val="28"/>
              </w:rPr>
              <w:t>92.95</w:t>
            </w:r>
            <w:r w:rsidR="00CE472E">
              <w:rPr>
                <w:b/>
                <w:sz w:val="28"/>
                <w:szCs w:val="28"/>
              </w:rPr>
              <w:t>%</w:t>
            </w:r>
          </w:p>
        </w:tc>
      </w:tr>
      <w:tr w:rsidR="002E1689" w14:paraId="5EBA056F" w14:textId="77777777" w:rsidTr="009C7F0A">
        <w:trPr>
          <w:trHeight w:val="397"/>
          <w:jc w:val="center"/>
        </w:trPr>
        <w:tc>
          <w:tcPr>
            <w:tcW w:w="5807" w:type="dxa"/>
            <w:tcBorders>
              <w:top w:val="single" w:sz="4" w:space="0" w:color="auto"/>
              <w:left w:val="single" w:sz="4" w:space="0" w:color="auto"/>
              <w:bottom w:val="single" w:sz="4" w:space="0" w:color="auto"/>
              <w:right w:val="single" w:sz="4" w:space="0" w:color="auto"/>
            </w:tcBorders>
            <w:vAlign w:val="center"/>
          </w:tcPr>
          <w:p w14:paraId="37A7453A" w14:textId="2DF72B61" w:rsidR="002E1689" w:rsidRPr="008D1E9D" w:rsidRDefault="002E1689" w:rsidP="00E22B2A">
            <w:pPr>
              <w:spacing w:after="0" w:line="240" w:lineRule="auto"/>
              <w:jc w:val="center"/>
              <w:rPr>
                <w:b/>
                <w:sz w:val="28"/>
                <w:szCs w:val="28"/>
              </w:rPr>
            </w:pPr>
            <w:r w:rsidRPr="008D1E9D">
              <w:rPr>
                <w:b/>
                <w:sz w:val="28"/>
                <w:szCs w:val="28"/>
              </w:rPr>
              <w:t>CHANGE 201</w:t>
            </w:r>
            <w:r w:rsidR="00E22B2A">
              <w:rPr>
                <w:b/>
                <w:sz w:val="28"/>
                <w:szCs w:val="28"/>
              </w:rPr>
              <w:t>6-17</w:t>
            </w:r>
            <w:r w:rsidRPr="008D1E9D">
              <w:rPr>
                <w:b/>
                <w:sz w:val="28"/>
                <w:szCs w:val="28"/>
              </w:rPr>
              <w:t xml:space="preserve"> TO 201</w:t>
            </w:r>
            <w:r w:rsidR="00CE472E">
              <w:rPr>
                <w:b/>
                <w:sz w:val="28"/>
                <w:szCs w:val="28"/>
              </w:rPr>
              <w:t>8</w:t>
            </w:r>
            <w:r w:rsidR="00E22B2A">
              <w:rPr>
                <w:b/>
                <w:sz w:val="28"/>
                <w:szCs w:val="28"/>
              </w:rPr>
              <w:t>-</w:t>
            </w:r>
            <w:r w:rsidRPr="008D1E9D">
              <w:rPr>
                <w:b/>
                <w:sz w:val="28"/>
                <w:szCs w:val="28"/>
              </w:rPr>
              <w:t>1</w:t>
            </w:r>
            <w:r w:rsidR="00CE472E">
              <w:rPr>
                <w:b/>
                <w:sz w:val="28"/>
                <w:szCs w:val="28"/>
              </w:rPr>
              <w:t>9</w:t>
            </w:r>
          </w:p>
        </w:tc>
        <w:tc>
          <w:tcPr>
            <w:tcW w:w="1701" w:type="dxa"/>
            <w:tcBorders>
              <w:top w:val="single" w:sz="4" w:space="0" w:color="auto"/>
              <w:left w:val="single" w:sz="4" w:space="0" w:color="auto"/>
              <w:bottom w:val="single" w:sz="4" w:space="0" w:color="auto"/>
              <w:right w:val="single" w:sz="4" w:space="0" w:color="auto"/>
            </w:tcBorders>
            <w:vAlign w:val="center"/>
          </w:tcPr>
          <w:p w14:paraId="27179E3C" w14:textId="1A11E17B" w:rsidR="002E1689" w:rsidRPr="008D1E9D" w:rsidRDefault="00C10F37" w:rsidP="00C10F37">
            <w:pPr>
              <w:spacing w:after="0" w:line="240" w:lineRule="auto"/>
              <w:jc w:val="center"/>
              <w:rPr>
                <w:b/>
                <w:sz w:val="28"/>
                <w:szCs w:val="28"/>
              </w:rPr>
            </w:pPr>
            <w:r>
              <w:rPr>
                <w:b/>
                <w:sz w:val="28"/>
                <w:szCs w:val="28"/>
              </w:rPr>
              <w:t>-</w:t>
            </w:r>
            <w:r w:rsidR="00CE472E">
              <w:rPr>
                <w:b/>
                <w:sz w:val="28"/>
                <w:szCs w:val="28"/>
              </w:rPr>
              <w:t>0.</w:t>
            </w:r>
            <w:r>
              <w:rPr>
                <w:b/>
                <w:sz w:val="28"/>
                <w:szCs w:val="28"/>
              </w:rPr>
              <w:t>18</w:t>
            </w:r>
            <w:r w:rsidR="00CD2C4D">
              <w:rPr>
                <w:b/>
                <w:sz w:val="28"/>
                <w:szCs w:val="28"/>
              </w:rPr>
              <w:t xml:space="preserve"> </w:t>
            </w:r>
            <w:r w:rsidR="00CD2C4D" w:rsidRPr="00C14931">
              <w:rPr>
                <w:b/>
                <w:color w:val="FF0000"/>
                <w:sz w:val="28"/>
                <w:szCs w:val="28"/>
              </w:rPr>
              <w:sym w:font="Wingdings" w:char="F0EA"/>
            </w:r>
          </w:p>
        </w:tc>
        <w:tc>
          <w:tcPr>
            <w:tcW w:w="5670" w:type="dxa"/>
            <w:tcBorders>
              <w:top w:val="single" w:sz="4" w:space="0" w:color="auto"/>
              <w:left w:val="single" w:sz="4" w:space="0" w:color="auto"/>
              <w:bottom w:val="single" w:sz="4" w:space="0" w:color="auto"/>
              <w:right w:val="single" w:sz="4" w:space="0" w:color="auto"/>
            </w:tcBorders>
            <w:vAlign w:val="center"/>
          </w:tcPr>
          <w:p w14:paraId="501E274E" w14:textId="4A770BE5" w:rsidR="002E1689" w:rsidRPr="00561760" w:rsidRDefault="002E1689" w:rsidP="00CE472E">
            <w:pPr>
              <w:spacing w:after="0" w:line="240" w:lineRule="auto"/>
              <w:jc w:val="center"/>
              <w:rPr>
                <w:sz w:val="28"/>
                <w:szCs w:val="28"/>
              </w:rPr>
            </w:pPr>
            <w:r>
              <w:rPr>
                <w:sz w:val="28"/>
                <w:szCs w:val="28"/>
              </w:rPr>
              <w:t>CHANGE 201</w:t>
            </w:r>
            <w:r w:rsidR="00CE472E">
              <w:rPr>
                <w:sz w:val="28"/>
                <w:szCs w:val="28"/>
              </w:rPr>
              <w:t>7</w:t>
            </w:r>
            <w:r>
              <w:rPr>
                <w:sz w:val="28"/>
                <w:szCs w:val="28"/>
              </w:rPr>
              <w:t>/1</w:t>
            </w:r>
            <w:r w:rsidR="00CE472E">
              <w:rPr>
                <w:sz w:val="28"/>
                <w:szCs w:val="28"/>
              </w:rPr>
              <w:t>8</w:t>
            </w:r>
            <w:r>
              <w:rPr>
                <w:sz w:val="28"/>
                <w:szCs w:val="28"/>
              </w:rPr>
              <w:t xml:space="preserve"> TO 201</w:t>
            </w:r>
            <w:r w:rsidR="00CE472E">
              <w:rPr>
                <w:sz w:val="28"/>
                <w:szCs w:val="28"/>
              </w:rPr>
              <w:t>8</w:t>
            </w:r>
            <w:r>
              <w:rPr>
                <w:sz w:val="28"/>
                <w:szCs w:val="28"/>
              </w:rPr>
              <w:t>/1</w:t>
            </w:r>
            <w:r w:rsidR="00CE472E">
              <w:rPr>
                <w:sz w:val="28"/>
                <w:szCs w:val="28"/>
              </w:rPr>
              <w:t>9</w:t>
            </w:r>
          </w:p>
        </w:tc>
        <w:tc>
          <w:tcPr>
            <w:tcW w:w="2131" w:type="dxa"/>
            <w:tcBorders>
              <w:top w:val="single" w:sz="4" w:space="0" w:color="auto"/>
              <w:left w:val="single" w:sz="4" w:space="0" w:color="auto"/>
              <w:bottom w:val="single" w:sz="4" w:space="0" w:color="auto"/>
              <w:right w:val="single" w:sz="4" w:space="0" w:color="auto"/>
            </w:tcBorders>
            <w:vAlign w:val="center"/>
          </w:tcPr>
          <w:p w14:paraId="2FD6CE6D" w14:textId="3F492519" w:rsidR="002E1689" w:rsidRPr="00CD2C4D" w:rsidRDefault="00CD2C4D" w:rsidP="009A329B">
            <w:pPr>
              <w:spacing w:after="0" w:line="240" w:lineRule="auto"/>
              <w:jc w:val="center"/>
              <w:rPr>
                <w:b/>
                <w:sz w:val="28"/>
                <w:szCs w:val="28"/>
              </w:rPr>
            </w:pPr>
            <w:r>
              <w:rPr>
                <w:sz w:val="28"/>
                <w:szCs w:val="28"/>
              </w:rPr>
              <w:t xml:space="preserve">-0.35 </w:t>
            </w:r>
            <w:r w:rsidRPr="00C14931">
              <w:rPr>
                <w:b/>
                <w:color w:val="FF0000"/>
                <w:sz w:val="28"/>
                <w:szCs w:val="28"/>
              </w:rPr>
              <w:sym w:font="Wingdings" w:char="F0EA"/>
            </w:r>
          </w:p>
        </w:tc>
      </w:tr>
      <w:tr w:rsidR="002E1689" w14:paraId="4DB13DB1" w14:textId="77777777" w:rsidTr="009C7F0A">
        <w:trPr>
          <w:trHeight w:val="397"/>
          <w:jc w:val="center"/>
        </w:trPr>
        <w:tc>
          <w:tcPr>
            <w:tcW w:w="5807" w:type="dxa"/>
            <w:tcBorders>
              <w:top w:val="single" w:sz="4" w:space="0" w:color="auto"/>
              <w:left w:val="single" w:sz="4" w:space="0" w:color="auto"/>
              <w:bottom w:val="single" w:sz="4" w:space="0" w:color="auto"/>
              <w:right w:val="single" w:sz="4" w:space="0" w:color="auto"/>
            </w:tcBorders>
            <w:vAlign w:val="center"/>
          </w:tcPr>
          <w:p w14:paraId="216F6B5D" w14:textId="29B5BFC3" w:rsidR="002E1689" w:rsidRPr="008D1E9D" w:rsidRDefault="002E1689" w:rsidP="00E22B2A">
            <w:pPr>
              <w:spacing w:after="0" w:line="240" w:lineRule="auto"/>
              <w:jc w:val="center"/>
              <w:rPr>
                <w:b/>
                <w:sz w:val="28"/>
                <w:szCs w:val="28"/>
              </w:rPr>
            </w:pPr>
            <w:r w:rsidRPr="008D1E9D">
              <w:rPr>
                <w:b/>
                <w:sz w:val="28"/>
                <w:szCs w:val="28"/>
              </w:rPr>
              <w:t>CHANGE BASE YEAR TO 201</w:t>
            </w:r>
            <w:r w:rsidR="00CE472E">
              <w:rPr>
                <w:b/>
                <w:sz w:val="28"/>
                <w:szCs w:val="28"/>
              </w:rPr>
              <w:t>8</w:t>
            </w:r>
            <w:r w:rsidR="00E22B2A">
              <w:rPr>
                <w:b/>
                <w:sz w:val="28"/>
                <w:szCs w:val="28"/>
              </w:rPr>
              <w:t>-</w:t>
            </w:r>
            <w:r w:rsidRPr="008D1E9D">
              <w:rPr>
                <w:b/>
                <w:sz w:val="28"/>
                <w:szCs w:val="28"/>
              </w:rPr>
              <w:t>1</w:t>
            </w:r>
            <w:r w:rsidR="00CE472E">
              <w:rPr>
                <w:b/>
                <w:sz w:val="28"/>
                <w:szCs w:val="28"/>
              </w:rPr>
              <w:t>9</w:t>
            </w:r>
          </w:p>
        </w:tc>
        <w:tc>
          <w:tcPr>
            <w:tcW w:w="1701" w:type="dxa"/>
            <w:tcBorders>
              <w:top w:val="single" w:sz="4" w:space="0" w:color="auto"/>
              <w:left w:val="single" w:sz="4" w:space="0" w:color="auto"/>
              <w:bottom w:val="single" w:sz="4" w:space="0" w:color="auto"/>
              <w:right w:val="single" w:sz="4" w:space="0" w:color="auto"/>
            </w:tcBorders>
            <w:vAlign w:val="center"/>
          </w:tcPr>
          <w:p w14:paraId="4A7681D0" w14:textId="1FC88BBB" w:rsidR="002E1689" w:rsidRPr="008D1E9D" w:rsidRDefault="00C10F37" w:rsidP="00C10F37">
            <w:pPr>
              <w:spacing w:after="0" w:line="240" w:lineRule="auto"/>
              <w:jc w:val="center"/>
              <w:rPr>
                <w:b/>
                <w:sz w:val="28"/>
                <w:szCs w:val="28"/>
              </w:rPr>
            </w:pPr>
            <w:r>
              <w:rPr>
                <w:b/>
                <w:sz w:val="28"/>
                <w:szCs w:val="28"/>
              </w:rPr>
              <w:t>-</w:t>
            </w:r>
            <w:r w:rsidR="00CE472E">
              <w:rPr>
                <w:b/>
                <w:sz w:val="28"/>
                <w:szCs w:val="28"/>
              </w:rPr>
              <w:t>0.</w:t>
            </w:r>
            <w:r>
              <w:rPr>
                <w:b/>
                <w:sz w:val="28"/>
                <w:szCs w:val="28"/>
              </w:rPr>
              <w:t>18</w:t>
            </w:r>
            <w:r w:rsidR="00CD2C4D">
              <w:rPr>
                <w:b/>
                <w:sz w:val="28"/>
                <w:szCs w:val="28"/>
              </w:rPr>
              <w:t xml:space="preserve"> </w:t>
            </w:r>
            <w:r w:rsidR="00CD2C4D" w:rsidRPr="00C14931">
              <w:rPr>
                <w:b/>
                <w:color w:val="FF0000"/>
                <w:sz w:val="28"/>
                <w:szCs w:val="28"/>
              </w:rPr>
              <w:sym w:font="Wingdings" w:char="F0EA"/>
            </w:r>
          </w:p>
        </w:tc>
        <w:tc>
          <w:tcPr>
            <w:tcW w:w="5670" w:type="dxa"/>
            <w:tcBorders>
              <w:top w:val="single" w:sz="4" w:space="0" w:color="auto"/>
              <w:left w:val="single" w:sz="4" w:space="0" w:color="auto"/>
              <w:bottom w:val="single" w:sz="4" w:space="0" w:color="auto"/>
              <w:right w:val="single" w:sz="4" w:space="0" w:color="auto"/>
            </w:tcBorders>
            <w:vAlign w:val="center"/>
          </w:tcPr>
          <w:p w14:paraId="3F5ED6CA" w14:textId="54102456" w:rsidR="002E1689" w:rsidRPr="00561760" w:rsidRDefault="002E1689" w:rsidP="00CE472E">
            <w:pPr>
              <w:spacing w:after="0" w:line="240" w:lineRule="auto"/>
              <w:jc w:val="center"/>
              <w:rPr>
                <w:sz w:val="28"/>
                <w:szCs w:val="28"/>
              </w:rPr>
            </w:pPr>
            <w:r>
              <w:rPr>
                <w:sz w:val="28"/>
                <w:szCs w:val="28"/>
              </w:rPr>
              <w:t>CHANGE BASE YEAR TO 201</w:t>
            </w:r>
            <w:r w:rsidR="00CE472E">
              <w:rPr>
                <w:sz w:val="28"/>
                <w:szCs w:val="28"/>
              </w:rPr>
              <w:t>8</w:t>
            </w:r>
            <w:r>
              <w:rPr>
                <w:sz w:val="28"/>
                <w:szCs w:val="28"/>
              </w:rPr>
              <w:t>/1</w:t>
            </w:r>
            <w:r w:rsidR="00CE472E">
              <w:rPr>
                <w:sz w:val="28"/>
                <w:szCs w:val="28"/>
              </w:rPr>
              <w:t>9</w:t>
            </w:r>
          </w:p>
        </w:tc>
        <w:tc>
          <w:tcPr>
            <w:tcW w:w="2131" w:type="dxa"/>
            <w:tcBorders>
              <w:top w:val="single" w:sz="4" w:space="0" w:color="auto"/>
              <w:left w:val="single" w:sz="4" w:space="0" w:color="auto"/>
              <w:bottom w:val="single" w:sz="4" w:space="0" w:color="auto"/>
              <w:right w:val="single" w:sz="4" w:space="0" w:color="auto"/>
            </w:tcBorders>
            <w:vAlign w:val="center"/>
          </w:tcPr>
          <w:p w14:paraId="3462CF23" w14:textId="317280D3" w:rsidR="002E1689" w:rsidRPr="00CD2C4D" w:rsidRDefault="00CD2C4D" w:rsidP="009A329B">
            <w:pPr>
              <w:spacing w:after="0" w:line="240" w:lineRule="auto"/>
              <w:jc w:val="center"/>
              <w:rPr>
                <w:b/>
                <w:sz w:val="28"/>
                <w:szCs w:val="28"/>
              </w:rPr>
            </w:pPr>
            <w:r>
              <w:rPr>
                <w:sz w:val="28"/>
                <w:szCs w:val="28"/>
              </w:rPr>
              <w:t xml:space="preserve">-0.15 </w:t>
            </w:r>
            <w:r w:rsidRPr="00C14931">
              <w:rPr>
                <w:b/>
                <w:color w:val="FF0000"/>
                <w:sz w:val="28"/>
                <w:szCs w:val="28"/>
              </w:rPr>
              <w:sym w:font="Wingdings" w:char="F0EA"/>
            </w:r>
          </w:p>
        </w:tc>
      </w:tr>
      <w:tr w:rsidR="002E1689" w14:paraId="698EAFDC" w14:textId="77777777" w:rsidTr="00B318EA">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vAlign w:val="center"/>
          </w:tcPr>
          <w:p w14:paraId="2398902F" w14:textId="2DE2FDF4" w:rsidR="002E1689" w:rsidRPr="008D1E9D" w:rsidRDefault="002E1689" w:rsidP="00CE472E">
            <w:pPr>
              <w:spacing w:after="0" w:line="240" w:lineRule="auto"/>
              <w:jc w:val="center"/>
              <w:rPr>
                <w:b/>
                <w:sz w:val="28"/>
                <w:szCs w:val="28"/>
              </w:rPr>
            </w:pPr>
            <w:r w:rsidRPr="008D1E9D">
              <w:rPr>
                <w:b/>
                <w:sz w:val="28"/>
                <w:szCs w:val="28"/>
              </w:rPr>
              <w:t>RANK POSITION:</w:t>
            </w:r>
            <w:r w:rsidR="00513443" w:rsidRPr="00780F1F">
              <w:rPr>
                <w:b/>
                <w:sz w:val="28"/>
                <w:szCs w:val="28"/>
              </w:rPr>
              <w:t xml:space="preserve">  </w:t>
            </w:r>
            <w:r w:rsidR="00780F1F">
              <w:rPr>
                <w:b/>
                <w:sz w:val="28"/>
                <w:szCs w:val="28"/>
              </w:rPr>
              <w:t>12</w:t>
            </w:r>
            <w:r w:rsidR="00513443" w:rsidRPr="00780F1F">
              <w:rPr>
                <w:b/>
                <w:sz w:val="28"/>
                <w:szCs w:val="28"/>
              </w:rPr>
              <w:t xml:space="preserve">  </w:t>
            </w:r>
            <w:r w:rsidRPr="008D1E9D">
              <w:rPr>
                <w:b/>
                <w:sz w:val="28"/>
                <w:szCs w:val="28"/>
              </w:rPr>
              <w:t xml:space="preserve">RANK MOVEMENT: </w:t>
            </w:r>
            <w:r w:rsidR="00780F1F">
              <w:rPr>
                <w:b/>
                <w:sz w:val="28"/>
                <w:szCs w:val="28"/>
              </w:rPr>
              <w:t>0</w:t>
            </w:r>
            <w:r w:rsidR="00CD2C4D">
              <w:rPr>
                <w:b/>
                <w:sz w:val="28"/>
                <w:szCs w:val="28"/>
              </w:rPr>
              <w:t xml:space="preserve"> </w:t>
            </w:r>
            <w:r w:rsidR="00CD2C4D" w:rsidRPr="00A83E3B">
              <w:rPr>
                <w:b/>
                <w:color w:val="0070C0"/>
                <w:sz w:val="28"/>
                <w:szCs w:val="28"/>
              </w:rPr>
              <w:sym w:font="Wingdings" w:char="F0E8"/>
            </w:r>
          </w:p>
        </w:tc>
        <w:tc>
          <w:tcPr>
            <w:tcW w:w="780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2EE02F98" w14:textId="77777777" w:rsidR="002E1689" w:rsidRPr="00561760" w:rsidRDefault="002E1689" w:rsidP="009A329B">
            <w:pPr>
              <w:spacing w:after="0" w:line="240" w:lineRule="auto"/>
              <w:rPr>
                <w:sz w:val="28"/>
                <w:szCs w:val="28"/>
              </w:rPr>
            </w:pPr>
          </w:p>
        </w:tc>
      </w:tr>
      <w:tr w:rsidR="00396455" w14:paraId="464DEC8A" w14:textId="77777777" w:rsidTr="00B318EA">
        <w:trPr>
          <w:trHeight w:val="397"/>
          <w:jc w:val="center"/>
        </w:trPr>
        <w:tc>
          <w:tcPr>
            <w:tcW w:w="7508"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21FD7C5E" w14:textId="77777777" w:rsidR="00396455" w:rsidRPr="008D1E9D" w:rsidRDefault="009C7F0A" w:rsidP="009C7F0A">
            <w:pPr>
              <w:spacing w:after="0" w:line="240" w:lineRule="auto"/>
              <w:jc w:val="center"/>
              <w:rPr>
                <w:b/>
                <w:sz w:val="28"/>
                <w:szCs w:val="28"/>
              </w:rPr>
            </w:pPr>
            <w:r>
              <w:rPr>
                <w:b/>
                <w:sz w:val="28"/>
                <w:szCs w:val="28"/>
              </w:rPr>
              <w:t>FAMILY GROUP RANKING</w:t>
            </w:r>
          </w:p>
        </w:tc>
        <w:tc>
          <w:tcPr>
            <w:tcW w:w="7801" w:type="dxa"/>
            <w:gridSpan w:val="2"/>
            <w:tcBorders>
              <w:left w:val="single" w:sz="4" w:space="0" w:color="auto"/>
              <w:right w:val="single" w:sz="4" w:space="0" w:color="auto"/>
            </w:tcBorders>
            <w:shd w:val="clear" w:color="auto" w:fill="D9D9D9" w:themeFill="background1" w:themeFillShade="D9"/>
            <w:vAlign w:val="center"/>
          </w:tcPr>
          <w:p w14:paraId="1498D5C7" w14:textId="77777777" w:rsidR="00396455" w:rsidRPr="00561760" w:rsidRDefault="00396455" w:rsidP="009A329B">
            <w:pPr>
              <w:spacing w:after="0" w:line="240" w:lineRule="auto"/>
              <w:rPr>
                <w:sz w:val="28"/>
                <w:szCs w:val="28"/>
              </w:rPr>
            </w:pPr>
          </w:p>
        </w:tc>
      </w:tr>
      <w:tr w:rsidR="009C7F0A" w14:paraId="004FC511" w14:textId="77777777" w:rsidTr="00B318EA">
        <w:trPr>
          <w:trHeight w:val="397"/>
          <w:jc w:val="center"/>
        </w:trPr>
        <w:tc>
          <w:tcPr>
            <w:tcW w:w="7508" w:type="dxa"/>
            <w:gridSpan w:val="2"/>
            <w:tcBorders>
              <w:left w:val="single" w:sz="4" w:space="0" w:color="auto"/>
              <w:bottom w:val="single" w:sz="4" w:space="0" w:color="auto"/>
              <w:right w:val="single" w:sz="4" w:space="0" w:color="auto"/>
            </w:tcBorders>
            <w:shd w:val="clear" w:color="auto" w:fill="D9E2F3" w:themeFill="accent5" w:themeFillTint="33"/>
            <w:vAlign w:val="center"/>
          </w:tcPr>
          <w:p w14:paraId="36783B48" w14:textId="0EAFC975" w:rsidR="009C7F0A" w:rsidRDefault="009C7F0A" w:rsidP="004072BD">
            <w:pPr>
              <w:spacing w:after="0" w:line="240" w:lineRule="auto"/>
              <w:jc w:val="center"/>
              <w:rPr>
                <w:b/>
                <w:sz w:val="28"/>
                <w:szCs w:val="28"/>
              </w:rPr>
            </w:pPr>
            <w:r>
              <w:rPr>
                <w:b/>
                <w:sz w:val="28"/>
                <w:szCs w:val="28"/>
              </w:rPr>
              <w:t>RANK POSITION:</w:t>
            </w:r>
            <w:r w:rsidR="00FD1CF1">
              <w:rPr>
                <w:b/>
                <w:sz w:val="28"/>
                <w:szCs w:val="28"/>
                <w:vertAlign w:val="superscript"/>
              </w:rPr>
              <w:t xml:space="preserve"> </w:t>
            </w:r>
            <w:r w:rsidR="00FD1CF1">
              <w:rPr>
                <w:b/>
                <w:sz w:val="28"/>
                <w:szCs w:val="28"/>
              </w:rPr>
              <w:t xml:space="preserve">  </w:t>
            </w:r>
            <w:r w:rsidR="00780F1F">
              <w:rPr>
                <w:b/>
                <w:sz w:val="28"/>
                <w:szCs w:val="28"/>
              </w:rPr>
              <w:t>4</w:t>
            </w:r>
            <w:r w:rsidR="00FD1CF1">
              <w:rPr>
                <w:b/>
                <w:sz w:val="28"/>
                <w:szCs w:val="28"/>
              </w:rPr>
              <w:t xml:space="preserve"> </w:t>
            </w:r>
            <w:r>
              <w:rPr>
                <w:b/>
                <w:sz w:val="28"/>
                <w:szCs w:val="28"/>
              </w:rPr>
              <w:t xml:space="preserve">RANK MOVEMENT: </w:t>
            </w:r>
            <w:r w:rsidR="004072BD">
              <w:rPr>
                <w:b/>
                <w:sz w:val="28"/>
                <w:szCs w:val="28"/>
              </w:rPr>
              <w:t xml:space="preserve">0 </w:t>
            </w:r>
            <w:r w:rsidR="004072BD" w:rsidRPr="00A83E3B">
              <w:rPr>
                <w:b/>
                <w:color w:val="0070C0"/>
                <w:sz w:val="28"/>
                <w:szCs w:val="28"/>
              </w:rPr>
              <w:sym w:font="Wingdings" w:char="F0E8"/>
            </w:r>
          </w:p>
        </w:tc>
        <w:tc>
          <w:tcPr>
            <w:tcW w:w="7801"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3D870822" w14:textId="77777777" w:rsidR="009C7F0A" w:rsidRPr="00561760" w:rsidRDefault="009C7F0A" w:rsidP="009A329B">
            <w:pPr>
              <w:spacing w:after="0" w:line="240" w:lineRule="auto"/>
              <w:rPr>
                <w:sz w:val="28"/>
                <w:szCs w:val="28"/>
              </w:rPr>
            </w:pPr>
          </w:p>
        </w:tc>
      </w:tr>
      <w:tr w:rsidR="002E1689" w14:paraId="5CECE6ED" w14:textId="77777777" w:rsidTr="003C009A">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0F47BFF2" w14:textId="382D34F0" w:rsidR="009C7F0A" w:rsidRPr="009C7F0A" w:rsidRDefault="009C7F0A" w:rsidP="009A329B">
            <w:pPr>
              <w:spacing w:after="0" w:line="240" w:lineRule="auto"/>
              <w:rPr>
                <w:sz w:val="6"/>
                <w:szCs w:val="6"/>
              </w:rPr>
            </w:pPr>
          </w:p>
          <w:p w14:paraId="4E9B652E" w14:textId="77777777" w:rsidR="002E1689" w:rsidRDefault="002E1689" w:rsidP="000F4CDF">
            <w:pPr>
              <w:spacing w:after="120" w:line="240" w:lineRule="auto"/>
              <w:rPr>
                <w:b/>
                <w:sz w:val="28"/>
                <w:szCs w:val="28"/>
              </w:rPr>
            </w:pPr>
            <w:r>
              <w:rPr>
                <w:b/>
                <w:sz w:val="28"/>
                <w:szCs w:val="28"/>
              </w:rPr>
              <w:t>TELLING OUR STORY</w:t>
            </w:r>
            <w:r w:rsidRPr="00F16CDA">
              <w:rPr>
                <w:b/>
                <w:sz w:val="28"/>
                <w:szCs w:val="28"/>
              </w:rPr>
              <w:t>:</w:t>
            </w:r>
          </w:p>
          <w:p w14:paraId="68B30996" w14:textId="77777777" w:rsidR="00A2613D" w:rsidRPr="006805F1" w:rsidRDefault="00A2613D" w:rsidP="000F4CDF">
            <w:pPr>
              <w:pStyle w:val="Default"/>
              <w:spacing w:after="120"/>
              <w:rPr>
                <w:rFonts w:asciiTheme="minorHAnsi" w:hAnsiTheme="minorHAnsi" w:cstheme="minorHAnsi"/>
              </w:rPr>
            </w:pPr>
            <w:r w:rsidRPr="006805F1">
              <w:rPr>
                <w:rFonts w:asciiTheme="minorHAnsi" w:hAnsiTheme="minorHAnsi" w:cstheme="minorHAnsi"/>
              </w:rPr>
              <w:t>The combined primary and secondary school attendance for Argyll and Bute has worsened by 0.18 of a percentage point with no change in rank position or family group ranking. The drop in attendance is less than the national figure.</w:t>
            </w:r>
          </w:p>
          <w:p w14:paraId="50029384" w14:textId="77777777" w:rsidR="00A2613D" w:rsidRPr="006805F1" w:rsidRDefault="00A2613D" w:rsidP="000F4CDF">
            <w:pPr>
              <w:spacing w:after="120" w:line="240" w:lineRule="auto"/>
              <w:rPr>
                <w:rFonts w:cstheme="minorHAnsi"/>
                <w:sz w:val="24"/>
                <w:szCs w:val="24"/>
              </w:rPr>
            </w:pPr>
            <w:r w:rsidRPr="006805F1">
              <w:rPr>
                <w:rFonts w:cstheme="minorHAnsi"/>
                <w:sz w:val="24"/>
                <w:szCs w:val="24"/>
              </w:rPr>
              <w:t xml:space="preserve">Officers and Head teachers continue to monitor attendance levels and patterns. </w:t>
            </w:r>
          </w:p>
          <w:p w14:paraId="68B12DB4" w14:textId="691E5C00" w:rsidR="00E22B2A" w:rsidRPr="001453C3" w:rsidRDefault="00E22B2A" w:rsidP="000F4CDF">
            <w:pPr>
              <w:spacing w:after="120" w:line="240" w:lineRule="auto"/>
              <w:rPr>
                <w:sz w:val="24"/>
                <w:szCs w:val="24"/>
              </w:rPr>
            </w:pPr>
            <w:r w:rsidRPr="001453C3">
              <w:rPr>
                <w:sz w:val="24"/>
                <w:szCs w:val="24"/>
              </w:rPr>
              <w:t>Over the last reporting period, there has been a slight decrease in performance of 0.18 percentage points. Although the LGBF data suggests that attendance rates have fallen by less than 1 percentage point since 2012-13, this is the third consecutive decrease in performance reported within the LGBF.</w:t>
            </w:r>
          </w:p>
          <w:p w14:paraId="22B55538" w14:textId="61B42F86" w:rsidR="00E22B2A" w:rsidRPr="001453C3" w:rsidRDefault="00E22B2A" w:rsidP="000F4CDF">
            <w:pPr>
              <w:spacing w:after="120" w:line="240" w:lineRule="auto"/>
              <w:rPr>
                <w:sz w:val="24"/>
                <w:szCs w:val="24"/>
              </w:rPr>
            </w:pPr>
            <w:r w:rsidRPr="001453C3">
              <w:rPr>
                <w:sz w:val="24"/>
                <w:szCs w:val="24"/>
              </w:rPr>
              <w:t>The LGBF reports school attendance rates every two years, and across a two year period.</w:t>
            </w:r>
          </w:p>
          <w:p w14:paraId="26CB363F" w14:textId="77777777" w:rsidR="004B1F0F" w:rsidRPr="009C7F0A" w:rsidRDefault="004B1F0F" w:rsidP="00CE472E">
            <w:pPr>
              <w:spacing w:after="0" w:line="240" w:lineRule="auto"/>
              <w:rPr>
                <w:rFonts w:ascii="Arial" w:hAnsi="Arial" w:cs="Arial"/>
                <w:szCs w:val="24"/>
              </w:rPr>
            </w:pPr>
          </w:p>
        </w:tc>
      </w:tr>
      <w:tr w:rsidR="00A22348" w:rsidRPr="00A22348" w14:paraId="7E6DBB84" w14:textId="77777777" w:rsidTr="003C009A">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0763FC5A" w14:textId="77777777" w:rsidR="00A22348" w:rsidRPr="00A22348" w:rsidRDefault="00A22348" w:rsidP="00A22348">
            <w:pPr>
              <w:spacing w:after="0" w:line="240" w:lineRule="auto"/>
              <w:rPr>
                <w:sz w:val="6"/>
                <w:szCs w:val="6"/>
              </w:rPr>
            </w:pPr>
          </w:p>
          <w:p w14:paraId="21D4AB8A" w14:textId="77777777" w:rsidR="00A22348" w:rsidRDefault="00A22348" w:rsidP="000F4CDF">
            <w:pPr>
              <w:spacing w:after="120" w:line="240" w:lineRule="auto"/>
              <w:rPr>
                <w:b/>
                <w:sz w:val="28"/>
                <w:szCs w:val="28"/>
              </w:rPr>
            </w:pPr>
            <w:r>
              <w:rPr>
                <w:b/>
                <w:sz w:val="28"/>
                <w:szCs w:val="28"/>
              </w:rPr>
              <w:t>LOOKING FORWARD - EXPECTED IMPACT ON INDICATOR:</w:t>
            </w:r>
          </w:p>
          <w:p w14:paraId="4519BD18" w14:textId="77777777" w:rsidR="00A2613D" w:rsidRPr="006805F1" w:rsidRDefault="00A2613D" w:rsidP="000F4CDF">
            <w:pPr>
              <w:spacing w:after="120" w:line="240" w:lineRule="auto"/>
              <w:rPr>
                <w:rFonts w:cstheme="minorHAnsi"/>
                <w:sz w:val="24"/>
                <w:szCs w:val="24"/>
              </w:rPr>
            </w:pPr>
            <w:r w:rsidRPr="006805F1">
              <w:rPr>
                <w:rFonts w:cstheme="minorHAnsi"/>
                <w:sz w:val="24"/>
                <w:szCs w:val="24"/>
              </w:rPr>
              <w:t xml:space="preserve">A continued focus on ensuring highest possible levels of attendance and accuracy in recording attendance will ensure that attendance levels remain above the national average. </w:t>
            </w:r>
          </w:p>
          <w:p w14:paraId="077824B4" w14:textId="77777777" w:rsidR="00A2613D" w:rsidRPr="006805F1" w:rsidRDefault="00A2613D" w:rsidP="000F4CDF">
            <w:pPr>
              <w:pStyle w:val="Default"/>
              <w:spacing w:after="120"/>
              <w:rPr>
                <w:rFonts w:asciiTheme="minorHAnsi" w:hAnsiTheme="minorHAnsi" w:cstheme="minorHAnsi"/>
              </w:rPr>
            </w:pPr>
            <w:r w:rsidRPr="006805F1">
              <w:rPr>
                <w:rFonts w:asciiTheme="minorHAnsi" w:hAnsiTheme="minorHAnsi" w:cstheme="minorHAnsi"/>
              </w:rPr>
              <w:lastRenderedPageBreak/>
              <w:t xml:space="preserve">The Principal Teacher Looked After Children (LAC) will maintain a focus on monitoring and tracking attendance of all LAC young people across the authority and having individual conversations with school on how to maximise attendance. </w:t>
            </w:r>
          </w:p>
          <w:p w14:paraId="148CF3B2" w14:textId="77777777" w:rsidR="00290AB0" w:rsidRPr="00A22348" w:rsidRDefault="00290AB0" w:rsidP="009A329B">
            <w:pPr>
              <w:spacing w:after="0" w:line="240" w:lineRule="auto"/>
              <w:rPr>
                <w:rFonts w:ascii="Arial" w:hAnsi="Arial" w:cs="Arial"/>
              </w:rPr>
            </w:pPr>
          </w:p>
        </w:tc>
      </w:tr>
    </w:tbl>
    <w:p w14:paraId="2D74DE1E" w14:textId="77777777" w:rsidR="007D1A9D" w:rsidRDefault="007D1A9D">
      <w:r>
        <w:lastRenderedPageBreak/>
        <w:br w:type="page"/>
      </w:r>
    </w:p>
    <w:tbl>
      <w:tblPr>
        <w:tblW w:w="15309" w:type="dxa"/>
        <w:jc w:val="center"/>
        <w:tblLook w:val="04A0" w:firstRow="1" w:lastRow="0" w:firstColumn="1" w:lastColumn="0" w:noHBand="0" w:noVBand="1"/>
      </w:tblPr>
      <w:tblGrid>
        <w:gridCol w:w="5665"/>
        <w:gridCol w:w="1843"/>
        <w:gridCol w:w="5954"/>
        <w:gridCol w:w="1847"/>
      </w:tblGrid>
      <w:tr w:rsidR="00A376C3" w:rsidRPr="005D65E6" w14:paraId="397A15F3" w14:textId="77777777" w:rsidTr="00A376C3">
        <w:trPr>
          <w:trHeight w:val="79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4E29ED1B" w14:textId="77777777" w:rsidR="00A376C3" w:rsidRPr="005D65E6" w:rsidRDefault="00A376C3" w:rsidP="005D65E6">
            <w:pPr>
              <w:rPr>
                <w:b/>
                <w:sz w:val="32"/>
              </w:rPr>
            </w:pPr>
            <w:r w:rsidRPr="005D65E6">
              <w:rPr>
                <w:b/>
                <w:sz w:val="32"/>
              </w:rPr>
              <w:lastRenderedPageBreak/>
              <w:t>SERVICE: EDUCATION</w:t>
            </w:r>
          </w:p>
        </w:tc>
      </w:tr>
      <w:tr w:rsidR="00C253BA" w:rsidRPr="00396455" w14:paraId="3B02AF35" w14:textId="77777777" w:rsidTr="009C7F0A">
        <w:trPr>
          <w:trHeight w:val="567"/>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1BA8EFC2" w14:textId="326349D0" w:rsidR="00C253BA" w:rsidRPr="00396455" w:rsidRDefault="00C253BA" w:rsidP="009A329B">
            <w:pPr>
              <w:pStyle w:val="Heading1"/>
              <w:spacing w:before="0" w:line="240" w:lineRule="auto"/>
              <w:rPr>
                <w:b/>
                <w:color w:val="auto"/>
              </w:rPr>
            </w:pPr>
            <w:bookmarkStart w:id="8" w:name="_Toc56757686"/>
            <w:r w:rsidRPr="00396455">
              <w:rPr>
                <w:b/>
                <w:color w:val="auto"/>
              </w:rPr>
              <w:t xml:space="preserve">INDICATOR REF: CHN20a - School </w:t>
            </w:r>
            <w:r w:rsidR="002E68F4" w:rsidRPr="00396455">
              <w:rPr>
                <w:b/>
                <w:color w:val="auto"/>
              </w:rPr>
              <w:t xml:space="preserve">exclusion rates </w:t>
            </w:r>
            <w:r w:rsidRPr="00396455">
              <w:rPr>
                <w:b/>
                <w:color w:val="auto"/>
              </w:rPr>
              <w:t>– per 1,000 pupils</w:t>
            </w:r>
            <w:bookmarkEnd w:id="8"/>
            <w:r w:rsidR="0092464E" w:rsidRPr="00396455">
              <w:rPr>
                <w:b/>
                <w:color w:val="auto"/>
              </w:rPr>
              <w:t xml:space="preserve"> </w:t>
            </w:r>
            <w:r w:rsidR="00E10B0A" w:rsidRPr="00396455">
              <w:rPr>
                <w:b/>
                <w:color w:val="auto"/>
              </w:rPr>
              <w:t xml:space="preserve"> </w:t>
            </w:r>
          </w:p>
        </w:tc>
      </w:tr>
      <w:tr w:rsidR="003E452D" w14:paraId="6787A1FA" w14:textId="77777777" w:rsidTr="009C7F0A">
        <w:trPr>
          <w:trHeight w:val="45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710853E6" w14:textId="4B210CFA" w:rsidR="003E452D" w:rsidRPr="0058165C" w:rsidRDefault="003E452D" w:rsidP="00C10F37">
            <w:pPr>
              <w:spacing w:after="0" w:line="240" w:lineRule="auto"/>
              <w:jc w:val="center"/>
              <w:rPr>
                <w:b/>
                <w:color w:val="0070C0"/>
                <w:sz w:val="28"/>
                <w:szCs w:val="28"/>
              </w:rPr>
            </w:pPr>
            <w:r w:rsidRPr="00C577BD">
              <w:rPr>
                <w:b/>
                <w:color w:val="0070C0"/>
                <w:sz w:val="28"/>
                <w:szCs w:val="28"/>
              </w:rPr>
              <w:t>Performance Range:</w:t>
            </w:r>
            <w:r w:rsidR="0058165C" w:rsidRPr="004C7782">
              <w:rPr>
                <w:b/>
                <w:color w:val="0070C0"/>
                <w:sz w:val="28"/>
                <w:szCs w:val="28"/>
              </w:rPr>
              <w:t xml:space="preserve"> </w:t>
            </w:r>
            <w:r w:rsidR="00C10F37">
              <w:rPr>
                <w:b/>
                <w:color w:val="0070C0"/>
                <w:sz w:val="28"/>
                <w:szCs w:val="28"/>
              </w:rPr>
              <w:t>1.2‰</w:t>
            </w:r>
            <w:r w:rsidR="00026B5E">
              <w:rPr>
                <w:b/>
                <w:color w:val="0070C0"/>
                <w:sz w:val="28"/>
                <w:szCs w:val="28"/>
              </w:rPr>
              <w:t xml:space="preserve"> to </w:t>
            </w:r>
            <w:r w:rsidR="00C10F37">
              <w:rPr>
                <w:b/>
                <w:color w:val="0070C0"/>
                <w:sz w:val="28"/>
                <w:szCs w:val="28"/>
              </w:rPr>
              <w:t>52.94‰</w:t>
            </w:r>
            <w:r w:rsidR="0058165C">
              <w:rPr>
                <w:b/>
                <w:color w:val="0070C0"/>
                <w:sz w:val="28"/>
                <w:szCs w:val="28"/>
              </w:rPr>
              <w:t xml:space="preserve"> </w:t>
            </w:r>
            <w:r w:rsidR="005E2139">
              <w:rPr>
                <w:b/>
                <w:color w:val="0070C0"/>
                <w:sz w:val="28"/>
                <w:szCs w:val="28"/>
              </w:rPr>
              <w:t xml:space="preserve"> </w:t>
            </w:r>
            <w:r w:rsidR="00BE08CC" w:rsidRPr="00BE08CC">
              <w:rPr>
                <w:b/>
                <w:color w:val="0070C0"/>
                <w:sz w:val="28"/>
                <w:szCs w:val="28"/>
              </w:rPr>
              <w:t>(Lowest is best)</w:t>
            </w:r>
            <w:r w:rsidR="0058165C">
              <w:rPr>
                <w:b/>
                <w:color w:val="0070C0"/>
                <w:sz w:val="28"/>
                <w:szCs w:val="28"/>
              </w:rPr>
              <w:t xml:space="preserve"> </w:t>
            </w:r>
          </w:p>
        </w:tc>
      </w:tr>
      <w:tr w:rsidR="00321B3D" w14:paraId="2C1F31E4" w14:textId="77777777" w:rsidTr="009C7F0A">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95DE4BC" w14:textId="77777777" w:rsidR="00321B3D" w:rsidRDefault="00321B3D" w:rsidP="009A329B">
            <w:pPr>
              <w:spacing w:after="0" w:line="240" w:lineRule="auto"/>
              <w:jc w:val="center"/>
              <w:rPr>
                <w:b/>
                <w:sz w:val="28"/>
                <w:szCs w:val="28"/>
              </w:rPr>
            </w:pPr>
            <w:r>
              <w:rPr>
                <w:b/>
                <w:sz w:val="28"/>
                <w:szCs w:val="28"/>
              </w:rPr>
              <w:t>ARGYLL AND BUTE</w:t>
            </w:r>
          </w:p>
        </w:tc>
        <w:tc>
          <w:tcPr>
            <w:tcW w:w="780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21CF63D" w14:textId="77777777" w:rsidR="00321B3D" w:rsidRDefault="00321B3D" w:rsidP="009A329B">
            <w:pPr>
              <w:spacing w:after="0" w:line="240" w:lineRule="auto"/>
              <w:jc w:val="center"/>
              <w:rPr>
                <w:b/>
                <w:sz w:val="28"/>
                <w:szCs w:val="28"/>
              </w:rPr>
            </w:pPr>
            <w:r>
              <w:rPr>
                <w:b/>
                <w:sz w:val="28"/>
                <w:szCs w:val="28"/>
              </w:rPr>
              <w:t>SCOTLAND</w:t>
            </w:r>
          </w:p>
        </w:tc>
      </w:tr>
      <w:tr w:rsidR="00321B3D" w14:paraId="4C946DF1" w14:textId="77777777" w:rsidTr="009C7F0A">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vAlign w:val="center"/>
          </w:tcPr>
          <w:p w14:paraId="43C9C65B" w14:textId="661B186E" w:rsidR="00321B3D" w:rsidRPr="007F2847" w:rsidRDefault="00C10F37" w:rsidP="009A329B">
            <w:pPr>
              <w:spacing w:after="0" w:line="240" w:lineRule="auto"/>
              <w:jc w:val="center"/>
              <w:rPr>
                <w:b/>
                <w:sz w:val="28"/>
                <w:szCs w:val="28"/>
              </w:rPr>
            </w:pPr>
            <w:r>
              <w:rPr>
                <w:b/>
                <w:sz w:val="28"/>
                <w:szCs w:val="28"/>
              </w:rPr>
              <w:t>19.88‰</w:t>
            </w:r>
          </w:p>
        </w:tc>
        <w:tc>
          <w:tcPr>
            <w:tcW w:w="7801" w:type="dxa"/>
            <w:gridSpan w:val="2"/>
            <w:tcBorders>
              <w:top w:val="single" w:sz="4" w:space="0" w:color="auto"/>
              <w:left w:val="single" w:sz="4" w:space="0" w:color="auto"/>
              <w:bottom w:val="single" w:sz="4" w:space="0" w:color="auto"/>
              <w:right w:val="single" w:sz="4" w:space="0" w:color="auto"/>
            </w:tcBorders>
            <w:vAlign w:val="center"/>
          </w:tcPr>
          <w:p w14:paraId="2ECB6953" w14:textId="7186644F" w:rsidR="00321B3D" w:rsidRDefault="00C10F37" w:rsidP="009A329B">
            <w:pPr>
              <w:spacing w:after="0" w:line="240" w:lineRule="auto"/>
              <w:jc w:val="center"/>
              <w:rPr>
                <w:b/>
                <w:sz w:val="28"/>
                <w:szCs w:val="28"/>
              </w:rPr>
            </w:pPr>
            <w:r>
              <w:rPr>
                <w:b/>
                <w:sz w:val="28"/>
                <w:szCs w:val="28"/>
              </w:rPr>
              <w:t>21.65‰</w:t>
            </w:r>
          </w:p>
        </w:tc>
      </w:tr>
      <w:tr w:rsidR="002E1689" w14:paraId="2B9BFF5B" w14:textId="77777777" w:rsidTr="009C7F0A">
        <w:trPr>
          <w:trHeight w:val="397"/>
          <w:jc w:val="center"/>
        </w:trPr>
        <w:tc>
          <w:tcPr>
            <w:tcW w:w="5665" w:type="dxa"/>
            <w:tcBorders>
              <w:top w:val="single" w:sz="4" w:space="0" w:color="auto"/>
              <w:left w:val="single" w:sz="4" w:space="0" w:color="auto"/>
              <w:bottom w:val="single" w:sz="4" w:space="0" w:color="auto"/>
              <w:right w:val="single" w:sz="4" w:space="0" w:color="auto"/>
            </w:tcBorders>
            <w:vAlign w:val="center"/>
          </w:tcPr>
          <w:p w14:paraId="754A99C1" w14:textId="307FEFE7" w:rsidR="002E1689" w:rsidRPr="007F2847" w:rsidRDefault="002E1689" w:rsidP="00E406A7">
            <w:pPr>
              <w:spacing w:after="0" w:line="240" w:lineRule="auto"/>
              <w:jc w:val="center"/>
              <w:rPr>
                <w:b/>
                <w:sz w:val="28"/>
                <w:szCs w:val="28"/>
              </w:rPr>
            </w:pPr>
            <w:r w:rsidRPr="007F2847">
              <w:rPr>
                <w:b/>
                <w:sz w:val="28"/>
                <w:szCs w:val="28"/>
              </w:rPr>
              <w:t>CHANGE 201</w:t>
            </w:r>
            <w:r w:rsidR="00E406A7">
              <w:rPr>
                <w:b/>
                <w:sz w:val="28"/>
                <w:szCs w:val="28"/>
              </w:rPr>
              <w:t>6-17</w:t>
            </w:r>
            <w:r w:rsidRPr="007F2847">
              <w:rPr>
                <w:b/>
                <w:sz w:val="28"/>
                <w:szCs w:val="28"/>
              </w:rPr>
              <w:t xml:space="preserve"> TO 201</w:t>
            </w:r>
            <w:r w:rsidR="00033193">
              <w:rPr>
                <w:b/>
                <w:sz w:val="28"/>
                <w:szCs w:val="28"/>
              </w:rPr>
              <w:t>8</w:t>
            </w:r>
            <w:r w:rsidR="00E406A7">
              <w:rPr>
                <w:b/>
                <w:sz w:val="28"/>
                <w:szCs w:val="28"/>
              </w:rPr>
              <w:t>-</w:t>
            </w:r>
            <w:r w:rsidRPr="007F2847">
              <w:rPr>
                <w:b/>
                <w:sz w:val="28"/>
                <w:szCs w:val="28"/>
              </w:rPr>
              <w:t>1</w:t>
            </w:r>
            <w:r w:rsidR="00033193">
              <w:rPr>
                <w:b/>
                <w:sz w:val="28"/>
                <w:szCs w:val="28"/>
              </w:rPr>
              <w:t>9</w:t>
            </w:r>
          </w:p>
        </w:tc>
        <w:tc>
          <w:tcPr>
            <w:tcW w:w="1843" w:type="dxa"/>
            <w:tcBorders>
              <w:top w:val="single" w:sz="4" w:space="0" w:color="auto"/>
              <w:left w:val="single" w:sz="4" w:space="0" w:color="auto"/>
              <w:bottom w:val="single" w:sz="4" w:space="0" w:color="auto"/>
              <w:right w:val="single" w:sz="4" w:space="0" w:color="auto"/>
            </w:tcBorders>
            <w:vAlign w:val="center"/>
          </w:tcPr>
          <w:p w14:paraId="49F96DD5" w14:textId="7E929FD3" w:rsidR="002E1689" w:rsidRPr="007F2847" w:rsidRDefault="00C10F37" w:rsidP="009A329B">
            <w:pPr>
              <w:spacing w:after="0" w:line="240" w:lineRule="auto"/>
              <w:jc w:val="center"/>
              <w:rPr>
                <w:b/>
                <w:sz w:val="28"/>
                <w:szCs w:val="28"/>
              </w:rPr>
            </w:pPr>
            <w:r>
              <w:rPr>
                <w:b/>
                <w:sz w:val="28"/>
                <w:szCs w:val="28"/>
              </w:rPr>
              <w:t>4.09</w:t>
            </w:r>
            <w:r w:rsidR="00CD2C4D">
              <w:rPr>
                <w:b/>
                <w:sz w:val="28"/>
                <w:szCs w:val="28"/>
              </w:rPr>
              <w:t xml:space="preserve"> </w:t>
            </w:r>
            <w:r w:rsidR="00CD2C4D" w:rsidRPr="00C14931">
              <w:rPr>
                <w:b/>
                <w:color w:val="FF0000"/>
                <w:sz w:val="28"/>
                <w:szCs w:val="28"/>
              </w:rPr>
              <w:sym w:font="Wingdings" w:char="F0E9"/>
            </w:r>
          </w:p>
        </w:tc>
        <w:tc>
          <w:tcPr>
            <w:tcW w:w="5954" w:type="dxa"/>
            <w:tcBorders>
              <w:top w:val="single" w:sz="4" w:space="0" w:color="auto"/>
              <w:left w:val="single" w:sz="4" w:space="0" w:color="auto"/>
              <w:bottom w:val="single" w:sz="4" w:space="0" w:color="auto"/>
              <w:right w:val="single" w:sz="4" w:space="0" w:color="auto"/>
            </w:tcBorders>
            <w:vAlign w:val="center"/>
          </w:tcPr>
          <w:p w14:paraId="00F773CD" w14:textId="4E941313" w:rsidR="002E1689" w:rsidRPr="00561760" w:rsidRDefault="00E406A7" w:rsidP="00E406A7">
            <w:pPr>
              <w:spacing w:after="0" w:line="240" w:lineRule="auto"/>
              <w:jc w:val="center"/>
              <w:rPr>
                <w:sz w:val="28"/>
                <w:szCs w:val="28"/>
              </w:rPr>
            </w:pPr>
            <w:r>
              <w:rPr>
                <w:sz w:val="28"/>
                <w:szCs w:val="28"/>
              </w:rPr>
              <w:t>CHANGE 2016-17</w:t>
            </w:r>
            <w:r w:rsidR="002E1689">
              <w:rPr>
                <w:sz w:val="28"/>
                <w:szCs w:val="28"/>
              </w:rPr>
              <w:t xml:space="preserve"> TO 201</w:t>
            </w:r>
            <w:r w:rsidR="00033193">
              <w:rPr>
                <w:sz w:val="28"/>
                <w:szCs w:val="28"/>
              </w:rPr>
              <w:t>8</w:t>
            </w:r>
            <w:r>
              <w:rPr>
                <w:sz w:val="28"/>
                <w:szCs w:val="28"/>
              </w:rPr>
              <w:t>-</w:t>
            </w:r>
            <w:r w:rsidR="002E1689">
              <w:rPr>
                <w:sz w:val="28"/>
                <w:szCs w:val="28"/>
              </w:rPr>
              <w:t>1</w:t>
            </w:r>
            <w:r w:rsidR="00033193">
              <w:rPr>
                <w:sz w:val="28"/>
                <w:szCs w:val="28"/>
              </w:rPr>
              <w:t>9</w:t>
            </w:r>
          </w:p>
        </w:tc>
        <w:tc>
          <w:tcPr>
            <w:tcW w:w="1847" w:type="dxa"/>
            <w:tcBorders>
              <w:top w:val="single" w:sz="4" w:space="0" w:color="auto"/>
              <w:left w:val="single" w:sz="4" w:space="0" w:color="auto"/>
              <w:bottom w:val="single" w:sz="4" w:space="0" w:color="auto"/>
              <w:right w:val="single" w:sz="4" w:space="0" w:color="auto"/>
            </w:tcBorders>
            <w:vAlign w:val="center"/>
          </w:tcPr>
          <w:p w14:paraId="302236C5" w14:textId="5A6214A5" w:rsidR="002E1689" w:rsidRPr="00CD2C4D" w:rsidRDefault="00CD2C4D" w:rsidP="009A329B">
            <w:pPr>
              <w:spacing w:after="0" w:line="240" w:lineRule="auto"/>
              <w:jc w:val="center"/>
              <w:rPr>
                <w:sz w:val="28"/>
                <w:szCs w:val="28"/>
              </w:rPr>
            </w:pPr>
            <w:r w:rsidRPr="00CD2C4D">
              <w:rPr>
                <w:sz w:val="28"/>
                <w:szCs w:val="28"/>
              </w:rPr>
              <w:t>-5.19</w:t>
            </w:r>
            <w:r>
              <w:rPr>
                <w:sz w:val="28"/>
                <w:szCs w:val="28"/>
              </w:rPr>
              <w:t xml:space="preserve"> </w:t>
            </w:r>
            <w:r w:rsidRPr="00EC5E64">
              <w:rPr>
                <w:b/>
                <w:color w:val="00B050"/>
                <w:sz w:val="28"/>
                <w:szCs w:val="28"/>
              </w:rPr>
              <w:sym w:font="Wingdings" w:char="F0EA"/>
            </w:r>
          </w:p>
        </w:tc>
      </w:tr>
      <w:tr w:rsidR="002E1689" w14:paraId="4361DD08" w14:textId="77777777" w:rsidTr="009C7F0A">
        <w:trPr>
          <w:trHeight w:val="397"/>
          <w:jc w:val="center"/>
        </w:trPr>
        <w:tc>
          <w:tcPr>
            <w:tcW w:w="5665" w:type="dxa"/>
            <w:tcBorders>
              <w:top w:val="single" w:sz="4" w:space="0" w:color="auto"/>
              <w:left w:val="single" w:sz="4" w:space="0" w:color="auto"/>
              <w:bottom w:val="single" w:sz="4" w:space="0" w:color="auto"/>
              <w:right w:val="single" w:sz="4" w:space="0" w:color="auto"/>
            </w:tcBorders>
            <w:vAlign w:val="center"/>
          </w:tcPr>
          <w:p w14:paraId="1AA01898" w14:textId="6039E32C" w:rsidR="002E1689" w:rsidRPr="007F2847" w:rsidRDefault="002E1689" w:rsidP="00E406A7">
            <w:pPr>
              <w:spacing w:after="0" w:line="240" w:lineRule="auto"/>
              <w:jc w:val="center"/>
              <w:rPr>
                <w:b/>
                <w:sz w:val="28"/>
                <w:szCs w:val="28"/>
              </w:rPr>
            </w:pPr>
            <w:r w:rsidRPr="007F2847">
              <w:rPr>
                <w:b/>
                <w:sz w:val="28"/>
                <w:szCs w:val="28"/>
              </w:rPr>
              <w:t>CHANGE BASE YEAR TO 201</w:t>
            </w:r>
            <w:r w:rsidR="00033193">
              <w:rPr>
                <w:b/>
                <w:sz w:val="28"/>
                <w:szCs w:val="28"/>
              </w:rPr>
              <w:t>8</w:t>
            </w:r>
            <w:r w:rsidR="00E406A7">
              <w:rPr>
                <w:b/>
                <w:sz w:val="28"/>
                <w:szCs w:val="28"/>
              </w:rPr>
              <w:t>-</w:t>
            </w:r>
            <w:r w:rsidRPr="007F2847">
              <w:rPr>
                <w:b/>
                <w:sz w:val="28"/>
                <w:szCs w:val="28"/>
              </w:rPr>
              <w:t>1</w:t>
            </w:r>
            <w:r w:rsidR="00033193">
              <w:rPr>
                <w:b/>
                <w:sz w:val="28"/>
                <w:szCs w:val="28"/>
              </w:rPr>
              <w:t>9</w:t>
            </w:r>
          </w:p>
        </w:tc>
        <w:tc>
          <w:tcPr>
            <w:tcW w:w="1843" w:type="dxa"/>
            <w:tcBorders>
              <w:top w:val="single" w:sz="4" w:space="0" w:color="auto"/>
              <w:left w:val="single" w:sz="4" w:space="0" w:color="auto"/>
              <w:bottom w:val="single" w:sz="4" w:space="0" w:color="auto"/>
              <w:right w:val="single" w:sz="4" w:space="0" w:color="auto"/>
            </w:tcBorders>
            <w:vAlign w:val="center"/>
          </w:tcPr>
          <w:p w14:paraId="0ADC48D7" w14:textId="5FF2F891" w:rsidR="002E1689" w:rsidRPr="007F2847" w:rsidRDefault="00C10F37" w:rsidP="009A329B">
            <w:pPr>
              <w:spacing w:after="0" w:line="240" w:lineRule="auto"/>
              <w:jc w:val="center"/>
              <w:rPr>
                <w:b/>
                <w:sz w:val="28"/>
                <w:szCs w:val="28"/>
              </w:rPr>
            </w:pPr>
            <w:r>
              <w:rPr>
                <w:b/>
                <w:sz w:val="28"/>
                <w:szCs w:val="28"/>
              </w:rPr>
              <w:t>-14.14</w:t>
            </w:r>
            <w:r w:rsidR="00CD2C4D">
              <w:rPr>
                <w:b/>
                <w:sz w:val="28"/>
                <w:szCs w:val="28"/>
              </w:rPr>
              <w:t xml:space="preserve"> </w:t>
            </w:r>
            <w:r w:rsidR="00CD2C4D" w:rsidRPr="00EC5E64">
              <w:rPr>
                <w:b/>
                <w:color w:val="00B050"/>
                <w:sz w:val="28"/>
                <w:szCs w:val="28"/>
              </w:rPr>
              <w:sym w:font="Wingdings" w:char="F0EA"/>
            </w:r>
          </w:p>
        </w:tc>
        <w:tc>
          <w:tcPr>
            <w:tcW w:w="5954" w:type="dxa"/>
            <w:tcBorders>
              <w:top w:val="single" w:sz="4" w:space="0" w:color="auto"/>
              <w:left w:val="single" w:sz="4" w:space="0" w:color="auto"/>
              <w:bottom w:val="single" w:sz="4" w:space="0" w:color="auto"/>
              <w:right w:val="single" w:sz="4" w:space="0" w:color="auto"/>
            </w:tcBorders>
            <w:vAlign w:val="center"/>
          </w:tcPr>
          <w:p w14:paraId="3FE3121F" w14:textId="766A75FE" w:rsidR="002E1689" w:rsidRPr="00561760" w:rsidRDefault="002E1689" w:rsidP="00E406A7">
            <w:pPr>
              <w:spacing w:after="0" w:line="240" w:lineRule="auto"/>
              <w:jc w:val="center"/>
              <w:rPr>
                <w:sz w:val="28"/>
                <w:szCs w:val="28"/>
              </w:rPr>
            </w:pPr>
            <w:r>
              <w:rPr>
                <w:sz w:val="28"/>
                <w:szCs w:val="28"/>
              </w:rPr>
              <w:t>CHANGE BASE YEAR TO 201</w:t>
            </w:r>
            <w:r w:rsidR="00033193">
              <w:rPr>
                <w:sz w:val="28"/>
                <w:szCs w:val="28"/>
              </w:rPr>
              <w:t>8</w:t>
            </w:r>
            <w:r w:rsidR="00E406A7">
              <w:rPr>
                <w:sz w:val="28"/>
                <w:szCs w:val="28"/>
              </w:rPr>
              <w:t>-</w:t>
            </w:r>
            <w:r>
              <w:rPr>
                <w:sz w:val="28"/>
                <w:szCs w:val="28"/>
              </w:rPr>
              <w:t>1</w:t>
            </w:r>
            <w:r w:rsidR="00033193">
              <w:rPr>
                <w:sz w:val="28"/>
                <w:szCs w:val="28"/>
              </w:rPr>
              <w:t>9</w:t>
            </w:r>
          </w:p>
        </w:tc>
        <w:tc>
          <w:tcPr>
            <w:tcW w:w="1847" w:type="dxa"/>
            <w:tcBorders>
              <w:top w:val="single" w:sz="4" w:space="0" w:color="auto"/>
              <w:left w:val="single" w:sz="4" w:space="0" w:color="auto"/>
              <w:bottom w:val="single" w:sz="4" w:space="0" w:color="auto"/>
              <w:right w:val="single" w:sz="4" w:space="0" w:color="auto"/>
            </w:tcBorders>
            <w:vAlign w:val="center"/>
          </w:tcPr>
          <w:p w14:paraId="053AFF54" w14:textId="5AD59DE2" w:rsidR="002E1689" w:rsidRPr="00CD2C4D" w:rsidRDefault="00CD2C4D" w:rsidP="009A329B">
            <w:pPr>
              <w:spacing w:after="0" w:line="240" w:lineRule="auto"/>
              <w:jc w:val="center"/>
              <w:rPr>
                <w:sz w:val="28"/>
                <w:szCs w:val="28"/>
              </w:rPr>
            </w:pPr>
            <w:r w:rsidRPr="00CD2C4D">
              <w:rPr>
                <w:sz w:val="28"/>
                <w:szCs w:val="28"/>
              </w:rPr>
              <w:t>-18.35</w:t>
            </w:r>
            <w:r>
              <w:rPr>
                <w:sz w:val="28"/>
                <w:szCs w:val="28"/>
              </w:rPr>
              <w:t xml:space="preserve"> </w:t>
            </w:r>
            <w:r w:rsidRPr="00EC5E64">
              <w:rPr>
                <w:b/>
                <w:color w:val="00B050"/>
                <w:sz w:val="28"/>
                <w:szCs w:val="28"/>
              </w:rPr>
              <w:sym w:font="Wingdings" w:char="F0EA"/>
            </w:r>
          </w:p>
        </w:tc>
      </w:tr>
      <w:tr w:rsidR="002E1689" w14:paraId="27189160" w14:textId="77777777" w:rsidTr="00B318EA">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vAlign w:val="center"/>
          </w:tcPr>
          <w:p w14:paraId="1C69597F" w14:textId="74392525" w:rsidR="002E1689" w:rsidRPr="007F2847" w:rsidRDefault="002E1689" w:rsidP="00033193">
            <w:pPr>
              <w:spacing w:after="0" w:line="240" w:lineRule="auto"/>
              <w:jc w:val="center"/>
              <w:rPr>
                <w:b/>
                <w:sz w:val="28"/>
                <w:szCs w:val="28"/>
              </w:rPr>
            </w:pPr>
            <w:r w:rsidRPr="007F2847">
              <w:rPr>
                <w:b/>
                <w:sz w:val="28"/>
                <w:szCs w:val="28"/>
              </w:rPr>
              <w:t>RANK POSITION:</w:t>
            </w:r>
            <w:r w:rsidR="00513443" w:rsidRPr="00C10F37">
              <w:rPr>
                <w:b/>
                <w:sz w:val="28"/>
                <w:szCs w:val="28"/>
              </w:rPr>
              <w:t xml:space="preserve">  </w:t>
            </w:r>
            <w:r w:rsidR="00C10F37">
              <w:rPr>
                <w:b/>
                <w:sz w:val="28"/>
                <w:szCs w:val="28"/>
              </w:rPr>
              <w:t>16</w:t>
            </w:r>
            <w:r w:rsidR="00513443" w:rsidRPr="00C10F37">
              <w:rPr>
                <w:b/>
                <w:sz w:val="28"/>
                <w:szCs w:val="28"/>
              </w:rPr>
              <w:t xml:space="preserve">  </w:t>
            </w:r>
            <w:r w:rsidRPr="007F2847">
              <w:rPr>
                <w:b/>
                <w:sz w:val="28"/>
                <w:szCs w:val="28"/>
              </w:rPr>
              <w:t xml:space="preserve">RANK MOVEMENT: </w:t>
            </w:r>
            <w:r w:rsidR="00C10F37">
              <w:rPr>
                <w:b/>
                <w:sz w:val="28"/>
                <w:szCs w:val="28"/>
              </w:rPr>
              <w:t>-10</w:t>
            </w:r>
            <w:r w:rsidR="00CD2C4D">
              <w:rPr>
                <w:b/>
                <w:sz w:val="28"/>
                <w:szCs w:val="28"/>
              </w:rPr>
              <w:t xml:space="preserve"> </w:t>
            </w:r>
            <w:r w:rsidR="00CD2C4D" w:rsidRPr="00C14931">
              <w:rPr>
                <w:b/>
                <w:color w:val="FF0000"/>
                <w:sz w:val="28"/>
                <w:szCs w:val="28"/>
              </w:rPr>
              <w:sym w:font="Wingdings" w:char="F0EA"/>
            </w:r>
          </w:p>
        </w:tc>
        <w:tc>
          <w:tcPr>
            <w:tcW w:w="780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109B0B98" w14:textId="77777777" w:rsidR="002E1689" w:rsidRPr="00561760" w:rsidRDefault="002E1689" w:rsidP="009A329B">
            <w:pPr>
              <w:spacing w:after="0" w:line="240" w:lineRule="auto"/>
              <w:rPr>
                <w:sz w:val="28"/>
                <w:szCs w:val="28"/>
              </w:rPr>
            </w:pPr>
          </w:p>
        </w:tc>
      </w:tr>
      <w:tr w:rsidR="00396455" w14:paraId="70A3AC39" w14:textId="77777777" w:rsidTr="00B318EA">
        <w:trPr>
          <w:trHeight w:val="397"/>
          <w:jc w:val="center"/>
        </w:trPr>
        <w:tc>
          <w:tcPr>
            <w:tcW w:w="7508"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748DCA77" w14:textId="61CD1A25" w:rsidR="00396455" w:rsidRPr="007F2847" w:rsidRDefault="009C7F0A" w:rsidP="00033193">
            <w:pPr>
              <w:spacing w:after="0" w:line="240" w:lineRule="auto"/>
              <w:jc w:val="center"/>
              <w:rPr>
                <w:b/>
                <w:sz w:val="28"/>
                <w:szCs w:val="28"/>
              </w:rPr>
            </w:pPr>
            <w:r>
              <w:rPr>
                <w:b/>
                <w:sz w:val="28"/>
                <w:szCs w:val="28"/>
              </w:rPr>
              <w:t>FAMILY GROUP RANKING 201</w:t>
            </w:r>
            <w:r w:rsidR="00033193">
              <w:rPr>
                <w:b/>
                <w:sz w:val="28"/>
                <w:szCs w:val="28"/>
              </w:rPr>
              <w:t>8</w:t>
            </w:r>
            <w:r>
              <w:rPr>
                <w:b/>
                <w:sz w:val="28"/>
                <w:szCs w:val="28"/>
              </w:rPr>
              <w:t>/1</w:t>
            </w:r>
            <w:r w:rsidR="00033193">
              <w:rPr>
                <w:b/>
                <w:sz w:val="28"/>
                <w:szCs w:val="28"/>
              </w:rPr>
              <w:t>9</w:t>
            </w:r>
          </w:p>
        </w:tc>
        <w:tc>
          <w:tcPr>
            <w:tcW w:w="7801" w:type="dxa"/>
            <w:gridSpan w:val="2"/>
            <w:tcBorders>
              <w:left w:val="single" w:sz="4" w:space="0" w:color="auto"/>
              <w:right w:val="single" w:sz="4" w:space="0" w:color="auto"/>
            </w:tcBorders>
            <w:shd w:val="clear" w:color="auto" w:fill="D9D9D9" w:themeFill="background1" w:themeFillShade="D9"/>
            <w:vAlign w:val="center"/>
          </w:tcPr>
          <w:p w14:paraId="7E9D3914" w14:textId="77777777" w:rsidR="00396455" w:rsidRPr="00561760" w:rsidRDefault="00396455" w:rsidP="009A329B">
            <w:pPr>
              <w:spacing w:after="0" w:line="240" w:lineRule="auto"/>
              <w:rPr>
                <w:sz w:val="28"/>
                <w:szCs w:val="28"/>
              </w:rPr>
            </w:pPr>
          </w:p>
        </w:tc>
      </w:tr>
      <w:tr w:rsidR="009C7F0A" w14:paraId="50C45566" w14:textId="77777777" w:rsidTr="00B318EA">
        <w:trPr>
          <w:trHeight w:val="397"/>
          <w:jc w:val="center"/>
        </w:trPr>
        <w:tc>
          <w:tcPr>
            <w:tcW w:w="7508" w:type="dxa"/>
            <w:gridSpan w:val="2"/>
            <w:tcBorders>
              <w:left w:val="single" w:sz="4" w:space="0" w:color="auto"/>
              <w:bottom w:val="single" w:sz="4" w:space="0" w:color="auto"/>
              <w:right w:val="single" w:sz="4" w:space="0" w:color="auto"/>
            </w:tcBorders>
            <w:shd w:val="clear" w:color="auto" w:fill="D9E2F3" w:themeFill="accent5" w:themeFillTint="33"/>
            <w:vAlign w:val="center"/>
          </w:tcPr>
          <w:p w14:paraId="5212FF91" w14:textId="3A1E20DE" w:rsidR="009C7F0A" w:rsidRDefault="009C7F0A" w:rsidP="00033193">
            <w:pPr>
              <w:spacing w:after="0" w:line="240" w:lineRule="auto"/>
              <w:jc w:val="center"/>
              <w:rPr>
                <w:b/>
                <w:sz w:val="28"/>
                <w:szCs w:val="28"/>
              </w:rPr>
            </w:pPr>
            <w:r>
              <w:rPr>
                <w:b/>
                <w:sz w:val="28"/>
                <w:szCs w:val="28"/>
              </w:rPr>
              <w:t>RANK POSITION:</w:t>
            </w:r>
            <w:r w:rsidR="00FD1CF1">
              <w:rPr>
                <w:b/>
                <w:sz w:val="28"/>
                <w:szCs w:val="28"/>
              </w:rPr>
              <w:t xml:space="preserve">  </w:t>
            </w:r>
            <w:r w:rsidR="00C10F37">
              <w:rPr>
                <w:b/>
                <w:sz w:val="28"/>
                <w:szCs w:val="28"/>
              </w:rPr>
              <w:t>3</w:t>
            </w:r>
            <w:r w:rsidR="00FD1CF1">
              <w:rPr>
                <w:b/>
                <w:sz w:val="28"/>
                <w:szCs w:val="28"/>
              </w:rPr>
              <w:t xml:space="preserve">  </w:t>
            </w:r>
            <w:r>
              <w:rPr>
                <w:b/>
                <w:sz w:val="28"/>
                <w:szCs w:val="28"/>
              </w:rPr>
              <w:t xml:space="preserve">RANK MOVEMENT: </w:t>
            </w:r>
            <w:r w:rsidR="00C10F37">
              <w:rPr>
                <w:b/>
                <w:sz w:val="28"/>
                <w:szCs w:val="28"/>
              </w:rPr>
              <w:t>-2</w:t>
            </w:r>
            <w:r w:rsidR="00CD2C4D">
              <w:rPr>
                <w:b/>
                <w:sz w:val="28"/>
                <w:szCs w:val="28"/>
              </w:rPr>
              <w:t xml:space="preserve"> </w:t>
            </w:r>
            <w:r w:rsidR="00CD2C4D" w:rsidRPr="00C14931">
              <w:rPr>
                <w:b/>
                <w:color w:val="FF0000"/>
                <w:sz w:val="28"/>
                <w:szCs w:val="28"/>
              </w:rPr>
              <w:sym w:font="Wingdings" w:char="F0EA"/>
            </w:r>
          </w:p>
        </w:tc>
        <w:tc>
          <w:tcPr>
            <w:tcW w:w="7801"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3DE33711" w14:textId="77777777" w:rsidR="009C7F0A" w:rsidRPr="00561760" w:rsidRDefault="009C7F0A" w:rsidP="009A329B">
            <w:pPr>
              <w:spacing w:after="0" w:line="240" w:lineRule="auto"/>
              <w:rPr>
                <w:sz w:val="28"/>
                <w:szCs w:val="28"/>
              </w:rPr>
            </w:pPr>
          </w:p>
        </w:tc>
      </w:tr>
      <w:tr w:rsidR="002E1689" w14:paraId="391165BF" w14:textId="77777777" w:rsidTr="003C009A">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170D1C2C" w14:textId="77777777" w:rsidR="009C7F0A" w:rsidRPr="009C7F0A" w:rsidRDefault="009C7F0A" w:rsidP="009A329B">
            <w:pPr>
              <w:spacing w:after="0" w:line="240" w:lineRule="auto"/>
              <w:rPr>
                <w:sz w:val="6"/>
                <w:szCs w:val="6"/>
              </w:rPr>
            </w:pPr>
          </w:p>
          <w:p w14:paraId="6CFE8FF6" w14:textId="77777777" w:rsidR="002E1689" w:rsidRDefault="002E1689" w:rsidP="000F4CDF">
            <w:pPr>
              <w:spacing w:after="120" w:line="240" w:lineRule="auto"/>
              <w:rPr>
                <w:b/>
                <w:sz w:val="28"/>
                <w:szCs w:val="28"/>
              </w:rPr>
            </w:pPr>
            <w:r>
              <w:rPr>
                <w:b/>
                <w:sz w:val="28"/>
                <w:szCs w:val="28"/>
              </w:rPr>
              <w:t>TELLING OUR STORY</w:t>
            </w:r>
            <w:r w:rsidRPr="00F16CDA">
              <w:rPr>
                <w:b/>
                <w:sz w:val="28"/>
                <w:szCs w:val="28"/>
              </w:rPr>
              <w:t>:</w:t>
            </w:r>
          </w:p>
          <w:p w14:paraId="47BA39D0" w14:textId="77777777" w:rsidR="00A2613D" w:rsidRPr="006805F1" w:rsidRDefault="00A2613D" w:rsidP="000F4CDF">
            <w:pPr>
              <w:pStyle w:val="Default"/>
              <w:spacing w:after="120"/>
              <w:rPr>
                <w:rFonts w:asciiTheme="minorHAnsi" w:hAnsiTheme="minorHAnsi" w:cstheme="minorHAnsi"/>
              </w:rPr>
            </w:pPr>
            <w:r w:rsidRPr="006805F1">
              <w:rPr>
                <w:rFonts w:asciiTheme="minorHAnsi" w:hAnsiTheme="minorHAnsi" w:cstheme="minorHAnsi"/>
              </w:rPr>
              <w:t>Whilst schools in Argyll and Bute continue to seek alternatives to exclusion we has seen a small decrease in this indicator, a drop of 4.09 per 1,000 pupils. There is still an overall increase of 18.35 from the base year.</w:t>
            </w:r>
          </w:p>
          <w:p w14:paraId="3D7AC16C" w14:textId="1104795D" w:rsidR="00E22B2A" w:rsidRPr="006805F1" w:rsidRDefault="00E406A7" w:rsidP="000F4CDF">
            <w:pPr>
              <w:spacing w:after="120" w:line="240" w:lineRule="auto"/>
              <w:rPr>
                <w:rFonts w:cstheme="minorHAnsi"/>
                <w:sz w:val="24"/>
                <w:szCs w:val="24"/>
              </w:rPr>
            </w:pPr>
            <w:r w:rsidRPr="006805F1">
              <w:rPr>
                <w:rFonts w:cstheme="minorHAnsi"/>
                <w:sz w:val="24"/>
                <w:szCs w:val="24"/>
              </w:rPr>
              <w:t>There has been a slight increase in school exclusion rates compared to the previous year. Nonetheless, this remains the second lowest figure (out of five data points) reported across the LGBF's life.</w:t>
            </w:r>
          </w:p>
          <w:p w14:paraId="1D16EC70" w14:textId="3BBA4D26" w:rsidR="00E406A7" w:rsidRPr="006805F1" w:rsidRDefault="00E406A7" w:rsidP="000F4CDF">
            <w:pPr>
              <w:spacing w:after="120" w:line="240" w:lineRule="auto"/>
              <w:rPr>
                <w:rFonts w:cstheme="minorHAnsi"/>
                <w:sz w:val="24"/>
                <w:szCs w:val="24"/>
              </w:rPr>
            </w:pPr>
            <w:r w:rsidRPr="006805F1">
              <w:rPr>
                <w:rFonts w:cstheme="minorHAnsi"/>
                <w:sz w:val="24"/>
                <w:szCs w:val="24"/>
              </w:rPr>
              <w:t>Last year's report predicted an improvement in exclusion rates with the continued implementation of the Rights Respecting School programme, and restorative approaches and support for vulnerable children and young people.</w:t>
            </w:r>
          </w:p>
          <w:p w14:paraId="1DA0B376" w14:textId="1470EC57" w:rsidR="00E22B2A" w:rsidRPr="00033193" w:rsidRDefault="00E22B2A" w:rsidP="009A329B">
            <w:pPr>
              <w:spacing w:after="0" w:line="240" w:lineRule="auto"/>
              <w:rPr>
                <w:rFonts w:ascii="Arial" w:hAnsi="Arial" w:cs="Arial"/>
                <w:szCs w:val="24"/>
              </w:rPr>
            </w:pPr>
          </w:p>
        </w:tc>
      </w:tr>
      <w:tr w:rsidR="002E1689" w14:paraId="48C0F9DB" w14:textId="77777777" w:rsidTr="003C009A">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6B792CD9" w14:textId="0780C694" w:rsidR="009C7F0A" w:rsidRPr="009C7F0A" w:rsidRDefault="009C7F0A" w:rsidP="009A329B">
            <w:pPr>
              <w:spacing w:after="0" w:line="240" w:lineRule="auto"/>
              <w:rPr>
                <w:sz w:val="6"/>
                <w:szCs w:val="6"/>
              </w:rPr>
            </w:pPr>
          </w:p>
          <w:p w14:paraId="22BA6038" w14:textId="77777777" w:rsidR="002E1689" w:rsidRDefault="00232953" w:rsidP="000F4CDF">
            <w:pPr>
              <w:spacing w:after="120" w:line="240" w:lineRule="auto"/>
              <w:rPr>
                <w:b/>
                <w:sz w:val="28"/>
                <w:szCs w:val="28"/>
              </w:rPr>
            </w:pPr>
            <w:r>
              <w:rPr>
                <w:b/>
                <w:sz w:val="28"/>
                <w:szCs w:val="28"/>
              </w:rPr>
              <w:t>LOOKING FORWARD - EXPECTED IMPACT ON INDICATOR</w:t>
            </w:r>
            <w:r w:rsidR="002E1689">
              <w:rPr>
                <w:b/>
                <w:sz w:val="28"/>
                <w:szCs w:val="28"/>
              </w:rPr>
              <w:t>:</w:t>
            </w:r>
          </w:p>
          <w:p w14:paraId="06B85EFB" w14:textId="77777777" w:rsidR="00A2613D" w:rsidRPr="006805F1" w:rsidRDefault="00A2613D" w:rsidP="000F4CDF">
            <w:pPr>
              <w:pStyle w:val="Default"/>
              <w:spacing w:after="120"/>
              <w:rPr>
                <w:rFonts w:asciiTheme="minorHAnsi" w:hAnsiTheme="minorHAnsi" w:cstheme="minorHAnsi"/>
              </w:rPr>
            </w:pPr>
            <w:r w:rsidRPr="006805F1">
              <w:rPr>
                <w:rFonts w:asciiTheme="minorHAnsi" w:hAnsiTheme="minorHAnsi" w:cstheme="minorHAnsi"/>
              </w:rPr>
              <w:t>Clear guidance on school exclusion is in place. Work on alternatives to exclusions and approaches to developing nurture should lead to an improvement in the exclusion rates.</w:t>
            </w:r>
          </w:p>
          <w:p w14:paraId="11C835B4" w14:textId="4B27727D" w:rsidR="00005D0F" w:rsidRPr="004151F3" w:rsidRDefault="00005D0F" w:rsidP="00005D0F">
            <w:pPr>
              <w:spacing w:after="0" w:line="240" w:lineRule="auto"/>
              <w:rPr>
                <w:rFonts w:ascii="Arial" w:hAnsi="Arial" w:cs="Arial"/>
                <w:szCs w:val="28"/>
              </w:rPr>
            </w:pPr>
          </w:p>
        </w:tc>
      </w:tr>
    </w:tbl>
    <w:p w14:paraId="577F901F" w14:textId="77777777" w:rsidR="007D1A9D" w:rsidRDefault="007D1A9D">
      <w:r>
        <w:br w:type="page"/>
      </w:r>
    </w:p>
    <w:tbl>
      <w:tblPr>
        <w:tblW w:w="15309" w:type="dxa"/>
        <w:jc w:val="center"/>
        <w:tblLook w:val="04A0" w:firstRow="1" w:lastRow="0" w:firstColumn="1" w:lastColumn="0" w:noHBand="0" w:noVBand="1"/>
      </w:tblPr>
      <w:tblGrid>
        <w:gridCol w:w="5524"/>
        <w:gridCol w:w="1984"/>
        <w:gridCol w:w="5954"/>
        <w:gridCol w:w="1847"/>
      </w:tblGrid>
      <w:tr w:rsidR="00A376C3" w:rsidRPr="005D65E6" w14:paraId="385707A7" w14:textId="77777777" w:rsidTr="00A376C3">
        <w:trPr>
          <w:trHeight w:val="79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7DC2E1A2" w14:textId="77777777" w:rsidR="00A376C3" w:rsidRPr="005D65E6" w:rsidRDefault="00A376C3" w:rsidP="005D65E6">
            <w:pPr>
              <w:rPr>
                <w:b/>
                <w:sz w:val="32"/>
              </w:rPr>
            </w:pPr>
            <w:r w:rsidRPr="005D65E6">
              <w:rPr>
                <w:b/>
                <w:sz w:val="32"/>
              </w:rPr>
              <w:lastRenderedPageBreak/>
              <w:t>SERVICE: EDUCATION</w:t>
            </w:r>
          </w:p>
        </w:tc>
      </w:tr>
      <w:tr w:rsidR="00C253BA" w:rsidRPr="00396455" w14:paraId="49CDCC7D" w14:textId="77777777" w:rsidTr="009C7F0A">
        <w:trPr>
          <w:trHeight w:val="567"/>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7DCD589F" w14:textId="261380D0" w:rsidR="00C253BA" w:rsidRPr="00396455" w:rsidRDefault="00C253BA" w:rsidP="009A329B">
            <w:pPr>
              <w:pStyle w:val="Heading1"/>
              <w:spacing w:before="0" w:line="240" w:lineRule="auto"/>
              <w:rPr>
                <w:b/>
                <w:color w:val="auto"/>
              </w:rPr>
            </w:pPr>
            <w:bookmarkStart w:id="9" w:name="_Toc56757687"/>
            <w:r w:rsidRPr="00396455">
              <w:rPr>
                <w:b/>
                <w:color w:val="auto"/>
              </w:rPr>
              <w:t xml:space="preserve">INDICATOR REF: CHN21 - Participation </w:t>
            </w:r>
            <w:r w:rsidR="002E68F4" w:rsidRPr="00396455">
              <w:rPr>
                <w:b/>
                <w:color w:val="auto"/>
              </w:rPr>
              <w:t>rates</w:t>
            </w:r>
            <w:r w:rsidRPr="00396455">
              <w:rPr>
                <w:b/>
                <w:color w:val="auto"/>
              </w:rPr>
              <w:t xml:space="preserve"> for 16-19 year olds</w:t>
            </w:r>
            <w:r w:rsidR="002E68F4" w:rsidRPr="00396455">
              <w:rPr>
                <w:b/>
                <w:color w:val="auto"/>
              </w:rPr>
              <w:t xml:space="preserve"> (per 100 pupils)</w:t>
            </w:r>
            <w:bookmarkEnd w:id="9"/>
            <w:r w:rsidR="0092464E" w:rsidRPr="00396455">
              <w:rPr>
                <w:b/>
                <w:color w:val="auto"/>
              </w:rPr>
              <w:t xml:space="preserve"> </w:t>
            </w:r>
            <w:r w:rsidR="00E10B0A" w:rsidRPr="00396455">
              <w:rPr>
                <w:b/>
                <w:color w:val="auto"/>
              </w:rPr>
              <w:t xml:space="preserve"> </w:t>
            </w:r>
          </w:p>
        </w:tc>
      </w:tr>
      <w:tr w:rsidR="003E452D" w14:paraId="3C3AB1C9" w14:textId="77777777" w:rsidTr="009C7F0A">
        <w:trPr>
          <w:trHeight w:val="45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772AB3A5" w14:textId="5471931D" w:rsidR="003E452D" w:rsidRPr="00EF0B20" w:rsidRDefault="003E452D" w:rsidP="00FB3E89">
            <w:pPr>
              <w:spacing w:after="0" w:line="240" w:lineRule="auto"/>
              <w:jc w:val="center"/>
              <w:rPr>
                <w:b/>
                <w:color w:val="0070C0"/>
                <w:sz w:val="28"/>
                <w:szCs w:val="28"/>
              </w:rPr>
            </w:pPr>
            <w:r w:rsidRPr="00C577BD">
              <w:rPr>
                <w:b/>
                <w:color w:val="0070C0"/>
                <w:sz w:val="28"/>
                <w:szCs w:val="28"/>
              </w:rPr>
              <w:t>Performance Range:</w:t>
            </w:r>
            <w:r w:rsidR="00EF0B20" w:rsidRPr="004C7782">
              <w:rPr>
                <w:b/>
                <w:color w:val="0070C0"/>
                <w:sz w:val="28"/>
                <w:szCs w:val="28"/>
              </w:rPr>
              <w:t xml:space="preserve"> </w:t>
            </w:r>
            <w:r w:rsidR="00FB3E89">
              <w:rPr>
                <w:b/>
                <w:color w:val="0070C0"/>
                <w:sz w:val="28"/>
                <w:szCs w:val="28"/>
              </w:rPr>
              <w:t>88.08%</w:t>
            </w:r>
            <w:r w:rsidR="00033193">
              <w:rPr>
                <w:b/>
                <w:color w:val="0070C0"/>
                <w:sz w:val="28"/>
                <w:szCs w:val="28"/>
              </w:rPr>
              <w:t xml:space="preserve"> </w:t>
            </w:r>
            <w:r w:rsidR="00EF0B20">
              <w:rPr>
                <w:b/>
                <w:color w:val="0070C0"/>
                <w:sz w:val="28"/>
                <w:szCs w:val="28"/>
              </w:rPr>
              <w:t xml:space="preserve">to </w:t>
            </w:r>
            <w:r w:rsidR="00FB3E89">
              <w:rPr>
                <w:b/>
                <w:color w:val="0070C0"/>
                <w:sz w:val="28"/>
                <w:szCs w:val="28"/>
              </w:rPr>
              <w:t>96.98%</w:t>
            </w:r>
            <w:r w:rsidR="005E2139">
              <w:rPr>
                <w:b/>
                <w:color w:val="0070C0"/>
                <w:sz w:val="28"/>
                <w:szCs w:val="28"/>
              </w:rPr>
              <w:t xml:space="preserve">  </w:t>
            </w:r>
            <w:r w:rsidR="005E2139" w:rsidRPr="005E2139">
              <w:rPr>
                <w:b/>
                <w:color w:val="0070C0"/>
                <w:sz w:val="28"/>
                <w:szCs w:val="28"/>
              </w:rPr>
              <w:t>(Highest is best)</w:t>
            </w:r>
          </w:p>
        </w:tc>
      </w:tr>
      <w:tr w:rsidR="00321B3D" w14:paraId="1027838A" w14:textId="77777777" w:rsidTr="009C7F0A">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2C334C7" w14:textId="77777777" w:rsidR="00321B3D" w:rsidRDefault="00321B3D" w:rsidP="009A329B">
            <w:pPr>
              <w:spacing w:after="0" w:line="240" w:lineRule="auto"/>
              <w:jc w:val="center"/>
              <w:rPr>
                <w:b/>
                <w:sz w:val="28"/>
                <w:szCs w:val="28"/>
              </w:rPr>
            </w:pPr>
            <w:r>
              <w:rPr>
                <w:b/>
                <w:sz w:val="28"/>
                <w:szCs w:val="28"/>
              </w:rPr>
              <w:t>ARGYLL AND BUTE</w:t>
            </w:r>
          </w:p>
        </w:tc>
        <w:tc>
          <w:tcPr>
            <w:tcW w:w="780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5CC7815" w14:textId="77777777" w:rsidR="00321B3D" w:rsidRDefault="00321B3D" w:rsidP="009A329B">
            <w:pPr>
              <w:spacing w:after="0" w:line="240" w:lineRule="auto"/>
              <w:jc w:val="center"/>
              <w:rPr>
                <w:b/>
                <w:sz w:val="28"/>
                <w:szCs w:val="28"/>
              </w:rPr>
            </w:pPr>
            <w:r>
              <w:rPr>
                <w:b/>
                <w:sz w:val="28"/>
                <w:szCs w:val="28"/>
              </w:rPr>
              <w:t>SCOTLAND</w:t>
            </w:r>
          </w:p>
        </w:tc>
      </w:tr>
      <w:tr w:rsidR="00321B3D" w14:paraId="1FE59B03" w14:textId="77777777" w:rsidTr="009C7F0A">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vAlign w:val="center"/>
          </w:tcPr>
          <w:p w14:paraId="56EE0AAA" w14:textId="37115317" w:rsidR="00321B3D" w:rsidRPr="0098154A" w:rsidRDefault="00FB3E89" w:rsidP="00CD2C4D">
            <w:pPr>
              <w:spacing w:after="0" w:line="240" w:lineRule="auto"/>
              <w:jc w:val="center"/>
              <w:rPr>
                <w:b/>
                <w:sz w:val="28"/>
                <w:szCs w:val="28"/>
              </w:rPr>
            </w:pPr>
            <w:r>
              <w:rPr>
                <w:b/>
                <w:sz w:val="28"/>
                <w:szCs w:val="28"/>
              </w:rPr>
              <w:t>94.76%</w:t>
            </w:r>
          </w:p>
        </w:tc>
        <w:tc>
          <w:tcPr>
            <w:tcW w:w="7801" w:type="dxa"/>
            <w:gridSpan w:val="2"/>
            <w:tcBorders>
              <w:top w:val="single" w:sz="4" w:space="0" w:color="auto"/>
              <w:left w:val="single" w:sz="4" w:space="0" w:color="auto"/>
              <w:bottom w:val="single" w:sz="4" w:space="0" w:color="auto"/>
              <w:right w:val="single" w:sz="4" w:space="0" w:color="auto"/>
            </w:tcBorders>
            <w:vAlign w:val="center"/>
          </w:tcPr>
          <w:p w14:paraId="051C0B2E" w14:textId="127EE9B4" w:rsidR="00321B3D" w:rsidRDefault="00FB3E89" w:rsidP="009A329B">
            <w:pPr>
              <w:spacing w:after="0" w:line="240" w:lineRule="auto"/>
              <w:jc w:val="center"/>
              <w:rPr>
                <w:b/>
                <w:sz w:val="28"/>
                <w:szCs w:val="28"/>
              </w:rPr>
            </w:pPr>
            <w:r>
              <w:rPr>
                <w:b/>
                <w:sz w:val="28"/>
                <w:szCs w:val="28"/>
              </w:rPr>
              <w:t>91.56</w:t>
            </w:r>
            <w:r w:rsidR="00033193">
              <w:rPr>
                <w:b/>
                <w:sz w:val="28"/>
                <w:szCs w:val="28"/>
              </w:rPr>
              <w:t>%</w:t>
            </w:r>
          </w:p>
        </w:tc>
      </w:tr>
      <w:tr w:rsidR="002E1689" w14:paraId="5EEF80AB" w14:textId="77777777" w:rsidTr="009C7F0A">
        <w:trPr>
          <w:trHeight w:val="397"/>
          <w:jc w:val="center"/>
        </w:trPr>
        <w:tc>
          <w:tcPr>
            <w:tcW w:w="5524" w:type="dxa"/>
            <w:tcBorders>
              <w:top w:val="single" w:sz="4" w:space="0" w:color="auto"/>
              <w:left w:val="single" w:sz="4" w:space="0" w:color="auto"/>
              <w:bottom w:val="single" w:sz="4" w:space="0" w:color="auto"/>
              <w:right w:val="single" w:sz="4" w:space="0" w:color="auto"/>
            </w:tcBorders>
            <w:vAlign w:val="center"/>
          </w:tcPr>
          <w:p w14:paraId="46787783" w14:textId="7A53AAD1" w:rsidR="002E1689" w:rsidRPr="0098154A" w:rsidRDefault="002E1689" w:rsidP="00033193">
            <w:pPr>
              <w:spacing w:after="0" w:line="240" w:lineRule="auto"/>
              <w:jc w:val="center"/>
              <w:rPr>
                <w:b/>
                <w:sz w:val="28"/>
                <w:szCs w:val="28"/>
              </w:rPr>
            </w:pPr>
            <w:r w:rsidRPr="0098154A">
              <w:rPr>
                <w:b/>
                <w:sz w:val="28"/>
                <w:szCs w:val="28"/>
              </w:rPr>
              <w:t>CHANGE 201</w:t>
            </w:r>
            <w:r w:rsidR="00033193">
              <w:rPr>
                <w:b/>
                <w:sz w:val="28"/>
                <w:szCs w:val="28"/>
              </w:rPr>
              <w:t>7</w:t>
            </w:r>
            <w:r w:rsidRPr="0098154A">
              <w:rPr>
                <w:b/>
                <w:sz w:val="28"/>
                <w:szCs w:val="28"/>
              </w:rPr>
              <w:t>/1</w:t>
            </w:r>
            <w:r w:rsidR="00033193">
              <w:rPr>
                <w:b/>
                <w:sz w:val="28"/>
                <w:szCs w:val="28"/>
              </w:rPr>
              <w:t>8</w:t>
            </w:r>
            <w:r w:rsidRPr="0098154A">
              <w:rPr>
                <w:b/>
                <w:sz w:val="28"/>
                <w:szCs w:val="28"/>
              </w:rPr>
              <w:t xml:space="preserve"> TO 201</w:t>
            </w:r>
            <w:r w:rsidR="00033193">
              <w:rPr>
                <w:b/>
                <w:sz w:val="28"/>
                <w:szCs w:val="28"/>
              </w:rPr>
              <w:t>8</w:t>
            </w:r>
            <w:r w:rsidRPr="0098154A">
              <w:rPr>
                <w:b/>
                <w:sz w:val="28"/>
                <w:szCs w:val="28"/>
              </w:rPr>
              <w:t>/1</w:t>
            </w:r>
            <w:r w:rsidR="00033193">
              <w:rPr>
                <w:b/>
                <w:sz w:val="28"/>
                <w:szCs w:val="28"/>
              </w:rPr>
              <w:t>9</w:t>
            </w:r>
          </w:p>
        </w:tc>
        <w:tc>
          <w:tcPr>
            <w:tcW w:w="1984" w:type="dxa"/>
            <w:tcBorders>
              <w:top w:val="single" w:sz="4" w:space="0" w:color="auto"/>
              <w:left w:val="single" w:sz="4" w:space="0" w:color="auto"/>
              <w:bottom w:val="single" w:sz="4" w:space="0" w:color="auto"/>
              <w:right w:val="single" w:sz="4" w:space="0" w:color="auto"/>
            </w:tcBorders>
            <w:vAlign w:val="center"/>
          </w:tcPr>
          <w:p w14:paraId="168DC9FD" w14:textId="71C0FAC6" w:rsidR="00CD2C4D" w:rsidRPr="0098154A" w:rsidRDefault="00CD2C4D" w:rsidP="00CD2C4D">
            <w:pPr>
              <w:spacing w:after="0" w:line="240" w:lineRule="auto"/>
              <w:jc w:val="center"/>
              <w:rPr>
                <w:b/>
                <w:sz w:val="28"/>
                <w:szCs w:val="28"/>
              </w:rPr>
            </w:pPr>
            <w:r>
              <w:rPr>
                <w:b/>
                <w:sz w:val="28"/>
                <w:szCs w:val="28"/>
              </w:rPr>
              <w:t xml:space="preserve">0.56 </w:t>
            </w:r>
            <w:r w:rsidRPr="00EC5E64">
              <w:rPr>
                <w:b/>
                <w:color w:val="00B050"/>
                <w:sz w:val="28"/>
                <w:szCs w:val="28"/>
              </w:rPr>
              <w:sym w:font="Wingdings" w:char="F0E9"/>
            </w:r>
          </w:p>
        </w:tc>
        <w:tc>
          <w:tcPr>
            <w:tcW w:w="5954" w:type="dxa"/>
            <w:tcBorders>
              <w:top w:val="single" w:sz="4" w:space="0" w:color="auto"/>
              <w:left w:val="single" w:sz="4" w:space="0" w:color="auto"/>
              <w:bottom w:val="single" w:sz="4" w:space="0" w:color="auto"/>
              <w:right w:val="single" w:sz="4" w:space="0" w:color="auto"/>
            </w:tcBorders>
            <w:vAlign w:val="center"/>
          </w:tcPr>
          <w:p w14:paraId="588AA9E1" w14:textId="12E06D7E" w:rsidR="002E1689" w:rsidRPr="00561760" w:rsidRDefault="002E1689" w:rsidP="00033193">
            <w:pPr>
              <w:spacing w:after="0" w:line="240" w:lineRule="auto"/>
              <w:jc w:val="center"/>
              <w:rPr>
                <w:sz w:val="28"/>
                <w:szCs w:val="28"/>
              </w:rPr>
            </w:pPr>
            <w:r>
              <w:rPr>
                <w:sz w:val="28"/>
                <w:szCs w:val="28"/>
              </w:rPr>
              <w:t>CHANGE 201</w:t>
            </w:r>
            <w:r w:rsidR="00033193">
              <w:rPr>
                <w:sz w:val="28"/>
                <w:szCs w:val="28"/>
              </w:rPr>
              <w:t>7</w:t>
            </w:r>
            <w:r>
              <w:rPr>
                <w:sz w:val="28"/>
                <w:szCs w:val="28"/>
              </w:rPr>
              <w:t>/1</w:t>
            </w:r>
            <w:r w:rsidR="00033193">
              <w:rPr>
                <w:sz w:val="28"/>
                <w:szCs w:val="28"/>
              </w:rPr>
              <w:t>8</w:t>
            </w:r>
            <w:r>
              <w:rPr>
                <w:sz w:val="28"/>
                <w:szCs w:val="28"/>
              </w:rPr>
              <w:t xml:space="preserve"> TO 201</w:t>
            </w:r>
            <w:r w:rsidR="00033193">
              <w:rPr>
                <w:sz w:val="28"/>
                <w:szCs w:val="28"/>
              </w:rPr>
              <w:t>8</w:t>
            </w:r>
            <w:r>
              <w:rPr>
                <w:sz w:val="28"/>
                <w:szCs w:val="28"/>
              </w:rPr>
              <w:t>/1</w:t>
            </w:r>
            <w:r w:rsidR="00033193">
              <w:rPr>
                <w:sz w:val="28"/>
                <w:szCs w:val="28"/>
              </w:rPr>
              <w:t>9</w:t>
            </w:r>
          </w:p>
        </w:tc>
        <w:tc>
          <w:tcPr>
            <w:tcW w:w="1847" w:type="dxa"/>
            <w:tcBorders>
              <w:top w:val="single" w:sz="4" w:space="0" w:color="auto"/>
              <w:left w:val="single" w:sz="4" w:space="0" w:color="auto"/>
              <w:bottom w:val="single" w:sz="4" w:space="0" w:color="auto"/>
              <w:right w:val="single" w:sz="4" w:space="0" w:color="auto"/>
            </w:tcBorders>
            <w:vAlign w:val="center"/>
          </w:tcPr>
          <w:p w14:paraId="5AA3F4B4" w14:textId="1C337BEF" w:rsidR="002E1689" w:rsidRPr="00CD2C4D" w:rsidRDefault="00CD2C4D" w:rsidP="009A329B">
            <w:pPr>
              <w:spacing w:after="0" w:line="240" w:lineRule="auto"/>
              <w:jc w:val="center"/>
              <w:rPr>
                <w:sz w:val="28"/>
                <w:szCs w:val="28"/>
              </w:rPr>
            </w:pPr>
            <w:r w:rsidRPr="00CD2C4D">
              <w:rPr>
                <w:sz w:val="28"/>
                <w:szCs w:val="28"/>
              </w:rPr>
              <w:t>-0.24</w:t>
            </w:r>
            <w:r>
              <w:rPr>
                <w:sz w:val="28"/>
                <w:szCs w:val="28"/>
              </w:rPr>
              <w:t xml:space="preserve"> </w:t>
            </w:r>
            <w:r w:rsidRPr="00C14931">
              <w:rPr>
                <w:b/>
                <w:color w:val="FF0000"/>
                <w:sz w:val="28"/>
                <w:szCs w:val="28"/>
              </w:rPr>
              <w:sym w:font="Wingdings" w:char="F0EA"/>
            </w:r>
          </w:p>
        </w:tc>
      </w:tr>
      <w:tr w:rsidR="002E1689" w14:paraId="440B98EA" w14:textId="77777777" w:rsidTr="009C7F0A">
        <w:trPr>
          <w:trHeight w:val="397"/>
          <w:jc w:val="center"/>
        </w:trPr>
        <w:tc>
          <w:tcPr>
            <w:tcW w:w="5524" w:type="dxa"/>
            <w:tcBorders>
              <w:top w:val="single" w:sz="4" w:space="0" w:color="auto"/>
              <w:left w:val="single" w:sz="4" w:space="0" w:color="auto"/>
              <w:bottom w:val="single" w:sz="4" w:space="0" w:color="auto"/>
              <w:right w:val="single" w:sz="4" w:space="0" w:color="auto"/>
            </w:tcBorders>
            <w:vAlign w:val="center"/>
          </w:tcPr>
          <w:p w14:paraId="252813D0" w14:textId="76CD0F2E" w:rsidR="002E1689" w:rsidRPr="0098154A" w:rsidRDefault="002E1689" w:rsidP="00033193">
            <w:pPr>
              <w:spacing w:after="0" w:line="240" w:lineRule="auto"/>
              <w:jc w:val="center"/>
              <w:rPr>
                <w:b/>
                <w:sz w:val="28"/>
                <w:szCs w:val="28"/>
              </w:rPr>
            </w:pPr>
            <w:r w:rsidRPr="0098154A">
              <w:rPr>
                <w:b/>
                <w:sz w:val="28"/>
                <w:szCs w:val="28"/>
              </w:rPr>
              <w:t>CHANGE BASE YEAR TO 201</w:t>
            </w:r>
            <w:r w:rsidR="00033193">
              <w:rPr>
                <w:b/>
                <w:sz w:val="28"/>
                <w:szCs w:val="28"/>
              </w:rPr>
              <w:t>8</w:t>
            </w:r>
            <w:r w:rsidRPr="0098154A">
              <w:rPr>
                <w:b/>
                <w:sz w:val="28"/>
                <w:szCs w:val="28"/>
              </w:rPr>
              <w:t>/1</w:t>
            </w:r>
            <w:r w:rsidR="00033193">
              <w:rPr>
                <w:b/>
                <w:sz w:val="28"/>
                <w:szCs w:val="28"/>
              </w:rPr>
              <w:t>9</w:t>
            </w:r>
          </w:p>
        </w:tc>
        <w:tc>
          <w:tcPr>
            <w:tcW w:w="1984" w:type="dxa"/>
            <w:tcBorders>
              <w:top w:val="single" w:sz="4" w:space="0" w:color="auto"/>
              <w:left w:val="single" w:sz="4" w:space="0" w:color="auto"/>
              <w:bottom w:val="single" w:sz="4" w:space="0" w:color="auto"/>
              <w:right w:val="single" w:sz="4" w:space="0" w:color="auto"/>
            </w:tcBorders>
            <w:vAlign w:val="center"/>
          </w:tcPr>
          <w:p w14:paraId="0D8CD76D" w14:textId="1D5BF9AC" w:rsidR="002E1689" w:rsidRPr="0098154A" w:rsidRDefault="00CD2C4D" w:rsidP="009A329B">
            <w:pPr>
              <w:spacing w:after="0" w:line="240" w:lineRule="auto"/>
              <w:jc w:val="center"/>
              <w:rPr>
                <w:b/>
                <w:sz w:val="28"/>
                <w:szCs w:val="28"/>
              </w:rPr>
            </w:pPr>
            <w:r>
              <w:rPr>
                <w:b/>
                <w:sz w:val="28"/>
                <w:szCs w:val="28"/>
              </w:rPr>
              <w:t xml:space="preserve">0.56 </w:t>
            </w:r>
            <w:r w:rsidRPr="00EC5E64">
              <w:rPr>
                <w:b/>
                <w:color w:val="00B050"/>
                <w:sz w:val="28"/>
                <w:szCs w:val="28"/>
              </w:rPr>
              <w:sym w:font="Wingdings" w:char="F0E9"/>
            </w:r>
          </w:p>
        </w:tc>
        <w:tc>
          <w:tcPr>
            <w:tcW w:w="5954" w:type="dxa"/>
            <w:tcBorders>
              <w:top w:val="single" w:sz="4" w:space="0" w:color="auto"/>
              <w:left w:val="single" w:sz="4" w:space="0" w:color="auto"/>
              <w:bottom w:val="single" w:sz="4" w:space="0" w:color="auto"/>
              <w:right w:val="single" w:sz="4" w:space="0" w:color="auto"/>
            </w:tcBorders>
            <w:vAlign w:val="center"/>
          </w:tcPr>
          <w:p w14:paraId="6F31214C" w14:textId="46D5275B" w:rsidR="002E1689" w:rsidRPr="00561760" w:rsidRDefault="002E1689" w:rsidP="00033193">
            <w:pPr>
              <w:spacing w:after="0" w:line="240" w:lineRule="auto"/>
              <w:jc w:val="center"/>
              <w:rPr>
                <w:sz w:val="28"/>
                <w:szCs w:val="28"/>
              </w:rPr>
            </w:pPr>
            <w:r>
              <w:rPr>
                <w:sz w:val="28"/>
                <w:szCs w:val="28"/>
              </w:rPr>
              <w:t>CHANGE BASE YEAR TO 201</w:t>
            </w:r>
            <w:r w:rsidR="00033193">
              <w:rPr>
                <w:sz w:val="28"/>
                <w:szCs w:val="28"/>
              </w:rPr>
              <w:t>8</w:t>
            </w:r>
            <w:r>
              <w:rPr>
                <w:sz w:val="28"/>
                <w:szCs w:val="28"/>
              </w:rPr>
              <w:t>/1</w:t>
            </w:r>
            <w:r w:rsidR="00033193">
              <w:rPr>
                <w:sz w:val="28"/>
                <w:szCs w:val="28"/>
              </w:rPr>
              <w:t>9</w:t>
            </w:r>
          </w:p>
        </w:tc>
        <w:tc>
          <w:tcPr>
            <w:tcW w:w="1847" w:type="dxa"/>
            <w:tcBorders>
              <w:top w:val="single" w:sz="4" w:space="0" w:color="auto"/>
              <w:left w:val="single" w:sz="4" w:space="0" w:color="auto"/>
              <w:bottom w:val="single" w:sz="4" w:space="0" w:color="auto"/>
              <w:right w:val="single" w:sz="4" w:space="0" w:color="auto"/>
            </w:tcBorders>
            <w:vAlign w:val="center"/>
          </w:tcPr>
          <w:p w14:paraId="4AD7635C" w14:textId="69DC7D26" w:rsidR="002E1689" w:rsidRPr="00CD2C4D" w:rsidRDefault="00CD2C4D" w:rsidP="009A329B">
            <w:pPr>
              <w:spacing w:after="0" w:line="240" w:lineRule="auto"/>
              <w:jc w:val="center"/>
              <w:rPr>
                <w:sz w:val="28"/>
                <w:szCs w:val="28"/>
              </w:rPr>
            </w:pPr>
            <w:r w:rsidRPr="00CD2C4D">
              <w:rPr>
                <w:sz w:val="28"/>
                <w:szCs w:val="28"/>
              </w:rPr>
              <w:t>1.16</w:t>
            </w:r>
            <w:r>
              <w:rPr>
                <w:sz w:val="28"/>
                <w:szCs w:val="28"/>
              </w:rPr>
              <w:t xml:space="preserve"> </w:t>
            </w:r>
            <w:r w:rsidRPr="00EC5E64">
              <w:rPr>
                <w:b/>
                <w:color w:val="00B050"/>
                <w:sz w:val="28"/>
                <w:szCs w:val="28"/>
              </w:rPr>
              <w:sym w:font="Wingdings" w:char="F0E9"/>
            </w:r>
          </w:p>
        </w:tc>
      </w:tr>
      <w:tr w:rsidR="002E1689" w14:paraId="48C6F342" w14:textId="77777777" w:rsidTr="00B318EA">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vAlign w:val="center"/>
          </w:tcPr>
          <w:p w14:paraId="0BF61058" w14:textId="5D6F12A5" w:rsidR="002E1689" w:rsidRPr="0098154A" w:rsidRDefault="002E1689" w:rsidP="00033193">
            <w:pPr>
              <w:spacing w:after="0" w:line="240" w:lineRule="auto"/>
              <w:jc w:val="center"/>
              <w:rPr>
                <w:b/>
                <w:sz w:val="28"/>
                <w:szCs w:val="28"/>
              </w:rPr>
            </w:pPr>
            <w:r w:rsidRPr="0098154A">
              <w:rPr>
                <w:b/>
                <w:sz w:val="28"/>
                <w:szCs w:val="28"/>
              </w:rPr>
              <w:t>RANK POSITION:</w:t>
            </w:r>
            <w:r w:rsidR="00513443" w:rsidRPr="00FB3E89">
              <w:rPr>
                <w:b/>
                <w:sz w:val="28"/>
                <w:szCs w:val="28"/>
              </w:rPr>
              <w:t xml:space="preserve">  </w:t>
            </w:r>
            <w:r w:rsidR="00FB3E89">
              <w:rPr>
                <w:b/>
                <w:sz w:val="28"/>
                <w:szCs w:val="28"/>
              </w:rPr>
              <w:t>6</w:t>
            </w:r>
            <w:r w:rsidR="00513443" w:rsidRPr="00FB3E89">
              <w:rPr>
                <w:b/>
                <w:sz w:val="28"/>
                <w:szCs w:val="28"/>
              </w:rPr>
              <w:t xml:space="preserve">  </w:t>
            </w:r>
            <w:r w:rsidR="00513443">
              <w:rPr>
                <w:b/>
                <w:sz w:val="28"/>
                <w:szCs w:val="28"/>
              </w:rPr>
              <w:t>R</w:t>
            </w:r>
            <w:r w:rsidRPr="0098154A">
              <w:rPr>
                <w:b/>
                <w:sz w:val="28"/>
                <w:szCs w:val="28"/>
              </w:rPr>
              <w:t xml:space="preserve">ANK MOVEMENT: </w:t>
            </w:r>
            <w:r w:rsidR="00FB3E89">
              <w:rPr>
                <w:b/>
                <w:sz w:val="28"/>
                <w:szCs w:val="28"/>
              </w:rPr>
              <w:t>3</w:t>
            </w:r>
            <w:r w:rsidR="00CD2C4D">
              <w:rPr>
                <w:b/>
                <w:sz w:val="28"/>
                <w:szCs w:val="28"/>
              </w:rPr>
              <w:t xml:space="preserve"> </w:t>
            </w:r>
            <w:r w:rsidR="00CD2C4D" w:rsidRPr="00EC5E64">
              <w:rPr>
                <w:b/>
                <w:color w:val="00B050"/>
                <w:sz w:val="28"/>
                <w:szCs w:val="28"/>
              </w:rPr>
              <w:sym w:font="Wingdings" w:char="F0E9"/>
            </w:r>
          </w:p>
        </w:tc>
        <w:tc>
          <w:tcPr>
            <w:tcW w:w="780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79DDB072" w14:textId="77777777" w:rsidR="002E1689" w:rsidRPr="00561760" w:rsidRDefault="002E1689" w:rsidP="009A329B">
            <w:pPr>
              <w:spacing w:after="0" w:line="240" w:lineRule="auto"/>
              <w:rPr>
                <w:sz w:val="28"/>
                <w:szCs w:val="28"/>
              </w:rPr>
            </w:pPr>
          </w:p>
        </w:tc>
      </w:tr>
      <w:tr w:rsidR="00396455" w14:paraId="7C31D9C9" w14:textId="77777777" w:rsidTr="00B318EA">
        <w:trPr>
          <w:trHeight w:val="397"/>
          <w:jc w:val="center"/>
        </w:trPr>
        <w:tc>
          <w:tcPr>
            <w:tcW w:w="7508"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136F0FE8" w14:textId="7DD0E019" w:rsidR="00396455" w:rsidRPr="0098154A" w:rsidRDefault="009C7F0A" w:rsidP="00033193">
            <w:pPr>
              <w:spacing w:after="0" w:line="240" w:lineRule="auto"/>
              <w:jc w:val="center"/>
              <w:rPr>
                <w:b/>
                <w:sz w:val="28"/>
                <w:szCs w:val="28"/>
              </w:rPr>
            </w:pPr>
            <w:r>
              <w:rPr>
                <w:b/>
                <w:sz w:val="28"/>
                <w:szCs w:val="28"/>
              </w:rPr>
              <w:t>FAMILY GROUP RANKING 201</w:t>
            </w:r>
            <w:r w:rsidR="00033193">
              <w:rPr>
                <w:b/>
                <w:sz w:val="28"/>
                <w:szCs w:val="28"/>
              </w:rPr>
              <w:t>8</w:t>
            </w:r>
            <w:r>
              <w:rPr>
                <w:b/>
                <w:sz w:val="28"/>
                <w:szCs w:val="28"/>
              </w:rPr>
              <w:t>/1</w:t>
            </w:r>
            <w:r w:rsidR="00033193">
              <w:rPr>
                <w:b/>
                <w:sz w:val="28"/>
                <w:szCs w:val="28"/>
              </w:rPr>
              <w:t>9</w:t>
            </w:r>
          </w:p>
        </w:tc>
        <w:tc>
          <w:tcPr>
            <w:tcW w:w="7801" w:type="dxa"/>
            <w:gridSpan w:val="2"/>
            <w:tcBorders>
              <w:left w:val="single" w:sz="4" w:space="0" w:color="auto"/>
              <w:right w:val="single" w:sz="4" w:space="0" w:color="auto"/>
            </w:tcBorders>
            <w:shd w:val="clear" w:color="auto" w:fill="D9D9D9" w:themeFill="background1" w:themeFillShade="D9"/>
            <w:vAlign w:val="center"/>
          </w:tcPr>
          <w:p w14:paraId="26C20476" w14:textId="77777777" w:rsidR="00396455" w:rsidRPr="00561760" w:rsidRDefault="00396455" w:rsidP="009A329B">
            <w:pPr>
              <w:spacing w:after="0" w:line="240" w:lineRule="auto"/>
              <w:rPr>
                <w:sz w:val="28"/>
                <w:szCs w:val="28"/>
              </w:rPr>
            </w:pPr>
          </w:p>
        </w:tc>
      </w:tr>
      <w:tr w:rsidR="009C7F0A" w14:paraId="14D994A6" w14:textId="77777777" w:rsidTr="00B318EA">
        <w:trPr>
          <w:trHeight w:val="397"/>
          <w:jc w:val="center"/>
        </w:trPr>
        <w:tc>
          <w:tcPr>
            <w:tcW w:w="7508" w:type="dxa"/>
            <w:gridSpan w:val="2"/>
            <w:tcBorders>
              <w:left w:val="single" w:sz="4" w:space="0" w:color="auto"/>
              <w:bottom w:val="single" w:sz="4" w:space="0" w:color="auto"/>
              <w:right w:val="single" w:sz="4" w:space="0" w:color="auto"/>
            </w:tcBorders>
            <w:shd w:val="clear" w:color="auto" w:fill="D9E2F3" w:themeFill="accent5" w:themeFillTint="33"/>
            <w:vAlign w:val="center"/>
          </w:tcPr>
          <w:p w14:paraId="1F7CF9B2" w14:textId="55B5183E" w:rsidR="009C7F0A" w:rsidRDefault="009C7F0A" w:rsidP="00033193">
            <w:pPr>
              <w:spacing w:after="0" w:line="240" w:lineRule="auto"/>
              <w:jc w:val="center"/>
              <w:rPr>
                <w:b/>
                <w:sz w:val="28"/>
                <w:szCs w:val="28"/>
              </w:rPr>
            </w:pPr>
            <w:r>
              <w:rPr>
                <w:b/>
                <w:sz w:val="28"/>
                <w:szCs w:val="28"/>
              </w:rPr>
              <w:t>RANK POSITION:</w:t>
            </w:r>
            <w:r w:rsidR="00FD1CF1">
              <w:rPr>
                <w:b/>
                <w:sz w:val="28"/>
                <w:szCs w:val="28"/>
              </w:rPr>
              <w:t xml:space="preserve">  </w:t>
            </w:r>
            <w:r w:rsidR="00FB3E89">
              <w:rPr>
                <w:b/>
                <w:sz w:val="28"/>
                <w:szCs w:val="28"/>
              </w:rPr>
              <w:t>1</w:t>
            </w:r>
            <w:r w:rsidR="00FD1CF1">
              <w:rPr>
                <w:b/>
                <w:sz w:val="28"/>
                <w:szCs w:val="28"/>
              </w:rPr>
              <w:t xml:space="preserve">  </w:t>
            </w:r>
            <w:r>
              <w:rPr>
                <w:b/>
                <w:sz w:val="28"/>
                <w:szCs w:val="28"/>
              </w:rPr>
              <w:t xml:space="preserve">RANK MOVEMENT: </w:t>
            </w:r>
            <w:r w:rsidR="00FB3E89">
              <w:rPr>
                <w:b/>
                <w:sz w:val="28"/>
                <w:szCs w:val="28"/>
              </w:rPr>
              <w:t>3</w:t>
            </w:r>
            <w:r w:rsidR="00CD2C4D">
              <w:rPr>
                <w:b/>
                <w:sz w:val="28"/>
                <w:szCs w:val="28"/>
              </w:rPr>
              <w:t xml:space="preserve"> </w:t>
            </w:r>
            <w:r w:rsidR="00CD2C4D" w:rsidRPr="00EC5E64">
              <w:rPr>
                <w:b/>
                <w:color w:val="00B050"/>
                <w:sz w:val="28"/>
                <w:szCs w:val="28"/>
              </w:rPr>
              <w:sym w:font="Wingdings" w:char="F0E9"/>
            </w:r>
          </w:p>
        </w:tc>
        <w:tc>
          <w:tcPr>
            <w:tcW w:w="7801"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1883D6F1" w14:textId="77777777" w:rsidR="009C7F0A" w:rsidRPr="00561760" w:rsidRDefault="009C7F0A" w:rsidP="009A329B">
            <w:pPr>
              <w:spacing w:after="0" w:line="240" w:lineRule="auto"/>
              <w:rPr>
                <w:sz w:val="28"/>
                <w:szCs w:val="28"/>
              </w:rPr>
            </w:pPr>
          </w:p>
        </w:tc>
      </w:tr>
      <w:tr w:rsidR="002E1689" w14:paraId="4C9D7DA8" w14:textId="77777777" w:rsidTr="009838CD">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7A286783" w14:textId="126DFD7B" w:rsidR="009C7F0A" w:rsidRPr="009C7F0A" w:rsidRDefault="009C7F0A" w:rsidP="009A329B">
            <w:pPr>
              <w:spacing w:after="0" w:line="240" w:lineRule="auto"/>
              <w:rPr>
                <w:sz w:val="6"/>
                <w:szCs w:val="6"/>
              </w:rPr>
            </w:pPr>
          </w:p>
          <w:p w14:paraId="7B180A2B" w14:textId="77777777" w:rsidR="002E1689" w:rsidRDefault="002E1689" w:rsidP="000F4CDF">
            <w:pPr>
              <w:spacing w:after="120" w:line="240" w:lineRule="auto"/>
              <w:rPr>
                <w:b/>
                <w:sz w:val="28"/>
                <w:szCs w:val="28"/>
              </w:rPr>
            </w:pPr>
            <w:r>
              <w:rPr>
                <w:b/>
                <w:sz w:val="28"/>
                <w:szCs w:val="28"/>
              </w:rPr>
              <w:t>TELLING OUR STORY</w:t>
            </w:r>
            <w:r w:rsidRPr="00F16CDA">
              <w:rPr>
                <w:b/>
                <w:sz w:val="28"/>
                <w:szCs w:val="28"/>
              </w:rPr>
              <w:t>:</w:t>
            </w:r>
          </w:p>
          <w:p w14:paraId="6C452393" w14:textId="77777777" w:rsidR="00A2613D" w:rsidRPr="006805F1" w:rsidRDefault="00A2613D" w:rsidP="000F4CDF">
            <w:pPr>
              <w:spacing w:after="120" w:line="240" w:lineRule="auto"/>
              <w:rPr>
                <w:rFonts w:cstheme="minorHAnsi"/>
                <w:sz w:val="24"/>
                <w:szCs w:val="24"/>
              </w:rPr>
            </w:pPr>
            <w:r w:rsidRPr="006805F1">
              <w:rPr>
                <w:rFonts w:cstheme="minorHAnsi"/>
                <w:sz w:val="24"/>
                <w:szCs w:val="24"/>
              </w:rPr>
              <w:t xml:space="preserve">An increase of 0.56 points reflects the work across schools to develop skills for life and work within a curriculum that meets the needs of its learners. </w:t>
            </w:r>
          </w:p>
          <w:p w14:paraId="4F780690" w14:textId="77777777" w:rsidR="00A2613D" w:rsidRPr="006805F1" w:rsidRDefault="00A2613D" w:rsidP="000F4CDF">
            <w:pPr>
              <w:pStyle w:val="Default"/>
              <w:spacing w:after="120"/>
              <w:rPr>
                <w:rFonts w:asciiTheme="minorHAnsi" w:hAnsiTheme="minorHAnsi" w:cstheme="minorHAnsi"/>
              </w:rPr>
            </w:pPr>
            <w:r w:rsidRPr="006805F1">
              <w:rPr>
                <w:rFonts w:asciiTheme="minorHAnsi" w:hAnsiTheme="minorHAnsi" w:cstheme="minorHAnsi"/>
              </w:rPr>
              <w:t xml:space="preserve">Argyll and Bute rank 6th out of the 32 local authorities and highest of our comparator authorities for the proportion for 16-19 year olds participating in education, training or employment. </w:t>
            </w:r>
          </w:p>
          <w:p w14:paraId="2905B9E5" w14:textId="77777777" w:rsidR="00233D0D" w:rsidRPr="001453C3" w:rsidRDefault="00233D0D" w:rsidP="000F4CDF">
            <w:pPr>
              <w:spacing w:after="120" w:line="240" w:lineRule="auto"/>
              <w:rPr>
                <w:sz w:val="24"/>
                <w:szCs w:val="24"/>
              </w:rPr>
            </w:pPr>
            <w:r w:rsidRPr="001453C3">
              <w:rPr>
                <w:sz w:val="24"/>
                <w:szCs w:val="24"/>
              </w:rPr>
              <w:t>2018/19 is the fourth year the LGBF has reported on this indicator. Argyll and Bute has performed above the Scottish average in each of these four years.</w:t>
            </w:r>
          </w:p>
          <w:p w14:paraId="0BF53BCF" w14:textId="5BB95D1B" w:rsidR="00233D0D" w:rsidRPr="001453C3" w:rsidRDefault="00233D0D" w:rsidP="000F4CDF">
            <w:pPr>
              <w:spacing w:after="120" w:line="240" w:lineRule="auto"/>
              <w:rPr>
                <w:sz w:val="24"/>
                <w:szCs w:val="24"/>
              </w:rPr>
            </w:pPr>
            <w:r w:rsidRPr="001453C3">
              <w:rPr>
                <w:sz w:val="24"/>
                <w:szCs w:val="24"/>
              </w:rPr>
              <w:t>A rank position of 6 puts Argyll and Bute in the top quartile for performance for this indicator.</w:t>
            </w:r>
          </w:p>
          <w:p w14:paraId="20A215A7" w14:textId="68B2B1D4" w:rsidR="00233D0D" w:rsidRPr="001453C3" w:rsidRDefault="00233D0D" w:rsidP="000F4CDF">
            <w:pPr>
              <w:spacing w:after="120" w:line="240" w:lineRule="auto"/>
              <w:rPr>
                <w:sz w:val="24"/>
                <w:szCs w:val="24"/>
              </w:rPr>
            </w:pPr>
            <w:r w:rsidRPr="001453C3">
              <w:rPr>
                <w:sz w:val="24"/>
                <w:szCs w:val="24"/>
              </w:rPr>
              <w:t>2018/19 is the second consecutive year in which performance in Argyll and Bute has improved.</w:t>
            </w:r>
          </w:p>
          <w:p w14:paraId="57D2CA08" w14:textId="77777777" w:rsidR="004B1F0F" w:rsidRPr="00033193" w:rsidRDefault="004B1F0F" w:rsidP="00033193">
            <w:pPr>
              <w:spacing w:after="0" w:line="240" w:lineRule="auto"/>
              <w:rPr>
                <w:rFonts w:ascii="Arial" w:hAnsi="Arial" w:cs="Arial"/>
                <w:szCs w:val="24"/>
              </w:rPr>
            </w:pPr>
          </w:p>
        </w:tc>
      </w:tr>
      <w:tr w:rsidR="002E1689" w14:paraId="74BFC235" w14:textId="77777777" w:rsidTr="009838CD">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50EA6D52" w14:textId="14C4EE20" w:rsidR="00E972FB" w:rsidRPr="00E972FB" w:rsidRDefault="00E972FB" w:rsidP="009A329B">
            <w:pPr>
              <w:spacing w:after="0" w:line="240" w:lineRule="auto"/>
              <w:rPr>
                <w:sz w:val="6"/>
                <w:szCs w:val="6"/>
              </w:rPr>
            </w:pPr>
          </w:p>
          <w:p w14:paraId="4C70D415" w14:textId="77777777" w:rsidR="002E1689" w:rsidRDefault="00232953" w:rsidP="000F4CDF">
            <w:pPr>
              <w:spacing w:after="120" w:line="240" w:lineRule="auto"/>
              <w:rPr>
                <w:b/>
                <w:sz w:val="28"/>
                <w:szCs w:val="28"/>
              </w:rPr>
            </w:pPr>
            <w:r>
              <w:rPr>
                <w:b/>
                <w:sz w:val="28"/>
                <w:szCs w:val="28"/>
              </w:rPr>
              <w:t>LOOKING FORWARD - EXPECTED IMPACT ON INDICATOR</w:t>
            </w:r>
            <w:r w:rsidR="002E1689">
              <w:rPr>
                <w:b/>
                <w:sz w:val="28"/>
                <w:szCs w:val="28"/>
              </w:rPr>
              <w:t>:</w:t>
            </w:r>
          </w:p>
          <w:p w14:paraId="74C908A1" w14:textId="77777777" w:rsidR="00A2613D" w:rsidRPr="006805F1" w:rsidRDefault="00A2613D" w:rsidP="000F4CDF">
            <w:pPr>
              <w:pStyle w:val="Default"/>
              <w:spacing w:after="120"/>
              <w:rPr>
                <w:rFonts w:asciiTheme="minorHAnsi" w:hAnsiTheme="minorHAnsi" w:cstheme="minorHAnsi"/>
              </w:rPr>
            </w:pPr>
            <w:r w:rsidRPr="006805F1">
              <w:rPr>
                <w:rFonts w:asciiTheme="minorHAnsi" w:hAnsiTheme="minorHAnsi" w:cstheme="minorHAnsi"/>
              </w:rPr>
              <w:t xml:space="preserve">Improved data and analysis of information provided by the Data Hub and Annual Participation Measure will be increasingly used to identify potential issues and inform partners. This will enable partners to be proactive in providing more targeted and tailored intervention to support young people. </w:t>
            </w:r>
          </w:p>
          <w:p w14:paraId="4AD1FC10" w14:textId="5F5CF9DA" w:rsidR="007B0701" w:rsidRPr="007B0701" w:rsidRDefault="00A2613D" w:rsidP="000F4CDF">
            <w:pPr>
              <w:spacing w:after="120" w:line="240" w:lineRule="auto"/>
              <w:rPr>
                <w:rFonts w:ascii="Arial" w:hAnsi="Arial" w:cs="Arial"/>
                <w:szCs w:val="28"/>
              </w:rPr>
            </w:pPr>
            <w:r w:rsidRPr="006805F1">
              <w:rPr>
                <w:rFonts w:cstheme="minorHAnsi"/>
                <w:sz w:val="24"/>
                <w:szCs w:val="24"/>
              </w:rPr>
              <w:t>An additional focus on care experienced young people should see improved participation for this group.</w:t>
            </w:r>
          </w:p>
        </w:tc>
      </w:tr>
    </w:tbl>
    <w:p w14:paraId="7F53ACDB" w14:textId="77777777" w:rsidR="007D1A9D" w:rsidRDefault="007D1A9D">
      <w:r>
        <w:br w:type="page"/>
      </w:r>
    </w:p>
    <w:p w14:paraId="7F3AE8D4" w14:textId="77777777" w:rsidR="00171D32" w:rsidRDefault="00171D32" w:rsidP="00E972FB">
      <w:pPr>
        <w:pStyle w:val="Heading2"/>
        <w:spacing w:before="0" w:line="240" w:lineRule="auto"/>
        <w:jc w:val="center"/>
        <w:rPr>
          <w:b/>
          <w:color w:val="auto"/>
          <w:sz w:val="52"/>
          <w:szCs w:val="52"/>
        </w:rPr>
      </w:pPr>
      <w:bookmarkStart w:id="10" w:name="_Toc56757688"/>
      <w:r w:rsidRPr="002D0E83">
        <w:rPr>
          <w:b/>
          <w:color w:val="auto"/>
          <w:sz w:val="52"/>
          <w:szCs w:val="52"/>
        </w:rPr>
        <w:lastRenderedPageBreak/>
        <w:t>CHILDREN AND FAMILIES</w:t>
      </w:r>
      <w:bookmarkEnd w:id="10"/>
    </w:p>
    <w:p w14:paraId="1203097A" w14:textId="77777777" w:rsidR="00E972FB" w:rsidRPr="00E972FB" w:rsidRDefault="00E972FB" w:rsidP="00E972FB">
      <w:pPr>
        <w:spacing w:after="0" w:line="240" w:lineRule="auto"/>
      </w:pPr>
    </w:p>
    <w:tbl>
      <w:tblPr>
        <w:tblW w:w="15309" w:type="dxa"/>
        <w:jc w:val="center"/>
        <w:tblLook w:val="04A0" w:firstRow="1" w:lastRow="0" w:firstColumn="1" w:lastColumn="0" w:noHBand="0" w:noVBand="1"/>
      </w:tblPr>
      <w:tblGrid>
        <w:gridCol w:w="5382"/>
        <w:gridCol w:w="2126"/>
        <w:gridCol w:w="5812"/>
        <w:gridCol w:w="1989"/>
      </w:tblGrid>
      <w:tr w:rsidR="00A376C3" w:rsidRPr="005D65E6" w14:paraId="2606772F" w14:textId="77777777" w:rsidTr="00A376C3">
        <w:trPr>
          <w:trHeight w:val="794"/>
          <w:jc w:val="center"/>
        </w:trPr>
        <w:tc>
          <w:tcPr>
            <w:tcW w:w="153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8F358F" w14:textId="77777777" w:rsidR="00A376C3" w:rsidRPr="005D65E6" w:rsidRDefault="00A376C3" w:rsidP="005D65E6">
            <w:pPr>
              <w:rPr>
                <w:b/>
                <w:sz w:val="32"/>
              </w:rPr>
            </w:pPr>
            <w:r w:rsidRPr="005D65E6">
              <w:rPr>
                <w:b/>
                <w:sz w:val="32"/>
              </w:rPr>
              <w:t>SERVICE: CHILDREN AND FAMILIES</w:t>
            </w:r>
          </w:p>
        </w:tc>
      </w:tr>
      <w:tr w:rsidR="00171D32" w:rsidRPr="00CA2DF0" w14:paraId="4A05E12B" w14:textId="77777777" w:rsidTr="00815DA6">
        <w:trPr>
          <w:trHeight w:val="567"/>
          <w:jc w:val="center"/>
        </w:trPr>
        <w:tc>
          <w:tcPr>
            <w:tcW w:w="153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16FD72" w14:textId="29D847D4" w:rsidR="00171D32" w:rsidRPr="00CA2DF0" w:rsidRDefault="00171D32" w:rsidP="009A329B">
            <w:pPr>
              <w:pStyle w:val="Heading1"/>
              <w:spacing w:before="0" w:line="240" w:lineRule="auto"/>
              <w:rPr>
                <w:b/>
              </w:rPr>
            </w:pPr>
            <w:bookmarkStart w:id="11" w:name="_Toc56757689"/>
            <w:r w:rsidRPr="00CA2DF0">
              <w:rPr>
                <w:b/>
                <w:color w:val="auto"/>
              </w:rPr>
              <w:t xml:space="preserve">INDICATOR REF: CHN8a - The </w:t>
            </w:r>
            <w:r w:rsidR="002E68F4" w:rsidRPr="00CA2DF0">
              <w:rPr>
                <w:b/>
                <w:color w:val="auto"/>
              </w:rPr>
              <w:t xml:space="preserve">gross cost </w:t>
            </w:r>
            <w:r w:rsidRPr="00CA2DF0">
              <w:rPr>
                <w:b/>
                <w:color w:val="auto"/>
              </w:rPr>
              <w:t>of "</w:t>
            </w:r>
            <w:r w:rsidR="00EF4EE2" w:rsidRPr="00CA2DF0">
              <w:rPr>
                <w:b/>
                <w:color w:val="auto"/>
              </w:rPr>
              <w:t>Children Looked After</w:t>
            </w:r>
            <w:r w:rsidRPr="00CA2DF0">
              <w:rPr>
                <w:b/>
                <w:color w:val="auto"/>
              </w:rPr>
              <w:t>" in residential based services per child per week</w:t>
            </w:r>
            <w:bookmarkEnd w:id="11"/>
            <w:r w:rsidR="00C858AA" w:rsidRPr="00CA2DF0">
              <w:rPr>
                <w:b/>
                <w:color w:val="auto"/>
              </w:rPr>
              <w:t xml:space="preserve"> </w:t>
            </w:r>
          </w:p>
        </w:tc>
      </w:tr>
      <w:tr w:rsidR="003E452D" w:rsidRPr="00CA2DF0" w14:paraId="254D8DE6" w14:textId="77777777" w:rsidTr="00815DA6">
        <w:trPr>
          <w:trHeight w:val="454"/>
          <w:jc w:val="center"/>
        </w:trPr>
        <w:tc>
          <w:tcPr>
            <w:tcW w:w="153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9C17E5" w14:textId="141BC211" w:rsidR="003E452D" w:rsidRPr="00CA2DF0" w:rsidRDefault="003E452D" w:rsidP="00FB3E89">
            <w:pPr>
              <w:spacing w:after="0" w:line="240" w:lineRule="auto"/>
              <w:jc w:val="center"/>
              <w:rPr>
                <w:b/>
                <w:sz w:val="28"/>
                <w:szCs w:val="28"/>
              </w:rPr>
            </w:pPr>
            <w:r w:rsidRPr="00CA2DF0">
              <w:rPr>
                <w:b/>
                <w:color w:val="0070C0"/>
                <w:sz w:val="28"/>
                <w:szCs w:val="28"/>
              </w:rPr>
              <w:t>Performance Range:</w:t>
            </w:r>
            <w:r w:rsidR="00BE08CC" w:rsidRPr="00CA2DF0">
              <w:rPr>
                <w:b/>
                <w:color w:val="0070C0"/>
                <w:sz w:val="28"/>
                <w:szCs w:val="28"/>
              </w:rPr>
              <w:t xml:space="preserve"> </w:t>
            </w:r>
            <w:r w:rsidR="00FB3E89">
              <w:rPr>
                <w:b/>
                <w:color w:val="0070C0"/>
                <w:sz w:val="28"/>
                <w:szCs w:val="28"/>
              </w:rPr>
              <w:t>£2,247</w:t>
            </w:r>
            <w:r w:rsidR="0014490C">
              <w:rPr>
                <w:b/>
                <w:color w:val="0070C0"/>
                <w:sz w:val="28"/>
                <w:szCs w:val="28"/>
              </w:rPr>
              <w:t xml:space="preserve"> to</w:t>
            </w:r>
            <w:r w:rsidR="0002426C">
              <w:rPr>
                <w:b/>
                <w:color w:val="0070C0"/>
                <w:sz w:val="28"/>
                <w:szCs w:val="28"/>
              </w:rPr>
              <w:t xml:space="preserve"> £</w:t>
            </w:r>
            <w:r w:rsidR="00FB3E89">
              <w:rPr>
                <w:b/>
                <w:color w:val="0070C0"/>
                <w:sz w:val="28"/>
                <w:szCs w:val="28"/>
              </w:rPr>
              <w:t>12,308</w:t>
            </w:r>
            <w:r w:rsidR="00033193">
              <w:rPr>
                <w:b/>
                <w:color w:val="0070C0"/>
                <w:sz w:val="28"/>
                <w:szCs w:val="28"/>
              </w:rPr>
              <w:t xml:space="preserve">  </w:t>
            </w:r>
            <w:r w:rsidR="00BE08CC" w:rsidRPr="00CA2DF0">
              <w:rPr>
                <w:b/>
                <w:color w:val="0070C0"/>
                <w:sz w:val="28"/>
                <w:szCs w:val="28"/>
              </w:rPr>
              <w:t>(Lowest is best)</w:t>
            </w:r>
          </w:p>
        </w:tc>
      </w:tr>
      <w:tr w:rsidR="00171D32" w:rsidRPr="00CA2DF0" w14:paraId="544BFF0C" w14:textId="77777777" w:rsidTr="00815DA6">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B498500" w14:textId="77777777" w:rsidR="00171D32" w:rsidRPr="00CA2DF0" w:rsidRDefault="00171D32" w:rsidP="009A329B">
            <w:pPr>
              <w:spacing w:after="0" w:line="240" w:lineRule="auto"/>
              <w:jc w:val="center"/>
              <w:rPr>
                <w:b/>
                <w:sz w:val="28"/>
                <w:szCs w:val="28"/>
              </w:rPr>
            </w:pPr>
            <w:r w:rsidRPr="00CA2DF0">
              <w:rPr>
                <w:b/>
                <w:sz w:val="28"/>
                <w:szCs w:val="28"/>
              </w:rPr>
              <w:t>ARGYLL AND BUTE</w:t>
            </w:r>
          </w:p>
        </w:tc>
        <w:tc>
          <w:tcPr>
            <w:tcW w:w="780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E801FAD" w14:textId="77777777" w:rsidR="00171D32" w:rsidRPr="00CA2DF0" w:rsidRDefault="00171D32" w:rsidP="009A329B">
            <w:pPr>
              <w:spacing w:after="0" w:line="240" w:lineRule="auto"/>
              <w:jc w:val="center"/>
              <w:rPr>
                <w:b/>
                <w:sz w:val="28"/>
                <w:szCs w:val="28"/>
              </w:rPr>
            </w:pPr>
            <w:r w:rsidRPr="00CA2DF0">
              <w:rPr>
                <w:b/>
                <w:sz w:val="28"/>
                <w:szCs w:val="28"/>
              </w:rPr>
              <w:t>SCOTLAND</w:t>
            </w:r>
          </w:p>
        </w:tc>
      </w:tr>
      <w:tr w:rsidR="00171D32" w:rsidRPr="00CA2DF0" w14:paraId="4AF66F3F" w14:textId="77777777" w:rsidTr="00815DA6">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448FA" w14:textId="07F0D23B" w:rsidR="00171D32" w:rsidRPr="00CA2DF0" w:rsidRDefault="00033193" w:rsidP="009A329B">
            <w:pPr>
              <w:spacing w:after="0" w:line="240" w:lineRule="auto"/>
              <w:jc w:val="center"/>
              <w:rPr>
                <w:b/>
                <w:sz w:val="28"/>
                <w:szCs w:val="28"/>
              </w:rPr>
            </w:pPr>
            <w:r>
              <w:rPr>
                <w:b/>
                <w:sz w:val="28"/>
                <w:szCs w:val="28"/>
              </w:rPr>
              <w:t>£</w:t>
            </w:r>
            <w:r w:rsidR="00FB3E89">
              <w:rPr>
                <w:b/>
                <w:sz w:val="28"/>
                <w:szCs w:val="28"/>
              </w:rPr>
              <w:t>2,619</w:t>
            </w:r>
          </w:p>
        </w:tc>
        <w:tc>
          <w:tcPr>
            <w:tcW w:w="7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F05B97" w14:textId="591631EC" w:rsidR="00171D32" w:rsidRPr="00CA2DF0" w:rsidRDefault="00033193" w:rsidP="009A329B">
            <w:pPr>
              <w:spacing w:after="0" w:line="240" w:lineRule="auto"/>
              <w:jc w:val="center"/>
              <w:rPr>
                <w:b/>
                <w:sz w:val="28"/>
                <w:szCs w:val="28"/>
              </w:rPr>
            </w:pPr>
            <w:r>
              <w:rPr>
                <w:sz w:val="28"/>
                <w:szCs w:val="28"/>
              </w:rPr>
              <w:t>£</w:t>
            </w:r>
            <w:r w:rsidR="00FB3E89">
              <w:rPr>
                <w:sz w:val="28"/>
                <w:szCs w:val="28"/>
              </w:rPr>
              <w:t>3,930</w:t>
            </w:r>
          </w:p>
        </w:tc>
      </w:tr>
      <w:tr w:rsidR="00653CE6" w:rsidRPr="00CA2DF0" w14:paraId="25DA9525" w14:textId="77777777" w:rsidTr="00815DA6">
        <w:trPr>
          <w:trHeight w:val="397"/>
          <w:jc w:val="center"/>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6B16A7FD" w14:textId="17B804A0" w:rsidR="00653CE6" w:rsidRPr="00CA2DF0" w:rsidRDefault="00653CE6" w:rsidP="00033193">
            <w:pPr>
              <w:spacing w:after="0" w:line="240" w:lineRule="auto"/>
              <w:jc w:val="center"/>
              <w:rPr>
                <w:b/>
                <w:sz w:val="28"/>
                <w:szCs w:val="28"/>
              </w:rPr>
            </w:pPr>
            <w:r w:rsidRPr="00CA2DF0">
              <w:rPr>
                <w:b/>
                <w:sz w:val="28"/>
                <w:szCs w:val="28"/>
              </w:rPr>
              <w:t>CHANGE 201</w:t>
            </w:r>
            <w:r w:rsidR="00033193">
              <w:rPr>
                <w:b/>
                <w:sz w:val="28"/>
                <w:szCs w:val="28"/>
              </w:rPr>
              <w:t>7</w:t>
            </w:r>
            <w:r w:rsidRPr="00CA2DF0">
              <w:rPr>
                <w:b/>
                <w:sz w:val="28"/>
                <w:szCs w:val="28"/>
              </w:rPr>
              <w:t>/1</w:t>
            </w:r>
            <w:r w:rsidR="00033193">
              <w:rPr>
                <w:b/>
                <w:sz w:val="28"/>
                <w:szCs w:val="28"/>
              </w:rPr>
              <w:t>8</w:t>
            </w:r>
            <w:r w:rsidRPr="00CA2DF0">
              <w:rPr>
                <w:b/>
                <w:sz w:val="28"/>
                <w:szCs w:val="28"/>
              </w:rPr>
              <w:t xml:space="preserve"> TO 201</w:t>
            </w:r>
            <w:r w:rsidR="00033193">
              <w:rPr>
                <w:b/>
                <w:sz w:val="28"/>
                <w:szCs w:val="28"/>
              </w:rPr>
              <w:t>8</w:t>
            </w:r>
            <w:r w:rsidRPr="00CA2DF0">
              <w:rPr>
                <w:b/>
                <w:sz w:val="28"/>
                <w:szCs w:val="28"/>
              </w:rPr>
              <w:t>/1</w:t>
            </w:r>
            <w:r w:rsidR="00033193">
              <w:rPr>
                <w:b/>
                <w:sz w:val="28"/>
                <w:szCs w:val="28"/>
              </w:rPr>
              <w:t>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F378886" w14:textId="645967F0" w:rsidR="00653CE6" w:rsidRPr="00CA2DF0" w:rsidRDefault="00FB3E89" w:rsidP="009A329B">
            <w:pPr>
              <w:spacing w:after="0" w:line="240" w:lineRule="auto"/>
              <w:jc w:val="center"/>
              <w:rPr>
                <w:b/>
                <w:sz w:val="28"/>
                <w:szCs w:val="28"/>
              </w:rPr>
            </w:pPr>
            <w:r>
              <w:rPr>
                <w:b/>
                <w:sz w:val="28"/>
                <w:szCs w:val="28"/>
              </w:rPr>
              <w:t>16.72</w:t>
            </w:r>
            <w:r w:rsidR="00033193">
              <w:rPr>
                <w:b/>
                <w:sz w:val="28"/>
                <w:szCs w:val="28"/>
              </w:rPr>
              <w:t>%</w:t>
            </w:r>
            <w:r w:rsidR="00FB1B66">
              <w:rPr>
                <w:b/>
                <w:sz w:val="28"/>
                <w:szCs w:val="28"/>
              </w:rPr>
              <w:t xml:space="preserve"> </w:t>
            </w:r>
            <w:r w:rsidR="00FB1B66" w:rsidRPr="00C14931">
              <w:rPr>
                <w:b/>
                <w:color w:val="FF0000"/>
                <w:sz w:val="28"/>
                <w:szCs w:val="28"/>
              </w:rPr>
              <w:sym w:font="Wingdings" w:char="F0E9"/>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07D6102" w14:textId="33CC5046" w:rsidR="00653CE6" w:rsidRPr="00CA2DF0" w:rsidRDefault="00653CE6" w:rsidP="00033193">
            <w:pPr>
              <w:spacing w:after="0" w:line="240" w:lineRule="auto"/>
              <w:jc w:val="center"/>
              <w:rPr>
                <w:sz w:val="28"/>
                <w:szCs w:val="28"/>
              </w:rPr>
            </w:pPr>
            <w:r w:rsidRPr="00CA2DF0">
              <w:rPr>
                <w:sz w:val="28"/>
                <w:szCs w:val="28"/>
              </w:rPr>
              <w:t>CHANGE 201</w:t>
            </w:r>
            <w:r w:rsidR="00033193">
              <w:rPr>
                <w:sz w:val="28"/>
                <w:szCs w:val="28"/>
              </w:rPr>
              <w:t>7</w:t>
            </w:r>
            <w:r w:rsidRPr="00CA2DF0">
              <w:rPr>
                <w:sz w:val="28"/>
                <w:szCs w:val="28"/>
              </w:rPr>
              <w:t>/1</w:t>
            </w:r>
            <w:r w:rsidR="00033193">
              <w:rPr>
                <w:sz w:val="28"/>
                <w:szCs w:val="28"/>
              </w:rPr>
              <w:t>8</w:t>
            </w:r>
            <w:r w:rsidRPr="00CA2DF0">
              <w:rPr>
                <w:sz w:val="28"/>
                <w:szCs w:val="28"/>
              </w:rPr>
              <w:t xml:space="preserve"> TO 201</w:t>
            </w:r>
            <w:r w:rsidR="00033193">
              <w:rPr>
                <w:sz w:val="28"/>
                <w:szCs w:val="28"/>
              </w:rPr>
              <w:t>8</w:t>
            </w:r>
            <w:r w:rsidRPr="00CA2DF0">
              <w:rPr>
                <w:sz w:val="28"/>
                <w:szCs w:val="28"/>
              </w:rPr>
              <w:t>/1</w:t>
            </w:r>
            <w:r w:rsidR="00033193">
              <w:rPr>
                <w:sz w:val="28"/>
                <w:szCs w:val="28"/>
              </w:rPr>
              <w:t>9</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14FF6BE3" w14:textId="60CFF5E9" w:rsidR="00653CE6" w:rsidRPr="00FB1B66" w:rsidRDefault="00FB1B66" w:rsidP="009A329B">
            <w:pPr>
              <w:spacing w:after="0" w:line="240" w:lineRule="auto"/>
              <w:jc w:val="center"/>
              <w:rPr>
                <w:sz w:val="28"/>
                <w:szCs w:val="28"/>
              </w:rPr>
            </w:pPr>
            <w:r w:rsidRPr="00FB1B66">
              <w:rPr>
                <w:sz w:val="28"/>
                <w:szCs w:val="28"/>
              </w:rPr>
              <w:t>10.66</w:t>
            </w:r>
            <w:r w:rsidR="00033193" w:rsidRPr="00FB1B66">
              <w:rPr>
                <w:sz w:val="28"/>
                <w:szCs w:val="28"/>
              </w:rPr>
              <w:t>%</w:t>
            </w:r>
            <w:r>
              <w:rPr>
                <w:sz w:val="28"/>
                <w:szCs w:val="28"/>
              </w:rPr>
              <w:t xml:space="preserve"> </w:t>
            </w:r>
            <w:r w:rsidRPr="00C14931">
              <w:rPr>
                <w:b/>
                <w:color w:val="FF0000"/>
                <w:sz w:val="28"/>
                <w:szCs w:val="28"/>
              </w:rPr>
              <w:sym w:font="Wingdings" w:char="F0E9"/>
            </w:r>
          </w:p>
        </w:tc>
      </w:tr>
      <w:tr w:rsidR="00653CE6" w:rsidRPr="00CA2DF0" w14:paraId="6ECA685C" w14:textId="77777777" w:rsidTr="00815DA6">
        <w:trPr>
          <w:trHeight w:val="397"/>
          <w:jc w:val="center"/>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4D987053" w14:textId="09963862" w:rsidR="00653CE6" w:rsidRPr="00CA2DF0" w:rsidRDefault="00653CE6" w:rsidP="00033193">
            <w:pPr>
              <w:spacing w:after="0" w:line="240" w:lineRule="auto"/>
              <w:jc w:val="center"/>
              <w:rPr>
                <w:b/>
                <w:sz w:val="28"/>
                <w:szCs w:val="28"/>
              </w:rPr>
            </w:pPr>
            <w:r w:rsidRPr="00CA2DF0">
              <w:rPr>
                <w:b/>
                <w:sz w:val="28"/>
                <w:szCs w:val="28"/>
              </w:rPr>
              <w:t>CHANGE BASE YEAR TO 201</w:t>
            </w:r>
            <w:r w:rsidR="00033193">
              <w:rPr>
                <w:b/>
                <w:sz w:val="28"/>
                <w:szCs w:val="28"/>
              </w:rPr>
              <w:t>8</w:t>
            </w:r>
            <w:r w:rsidRPr="00CA2DF0">
              <w:rPr>
                <w:b/>
                <w:sz w:val="28"/>
                <w:szCs w:val="28"/>
              </w:rPr>
              <w:t>/1</w:t>
            </w:r>
            <w:r w:rsidR="00033193">
              <w:rPr>
                <w:b/>
                <w:sz w:val="28"/>
                <w:szCs w:val="28"/>
              </w:rPr>
              <w:t>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C1A0FB8" w14:textId="1E5A58E9" w:rsidR="00653CE6" w:rsidRPr="00CA2DF0" w:rsidRDefault="00FB3E89" w:rsidP="009A329B">
            <w:pPr>
              <w:spacing w:after="0" w:line="240" w:lineRule="auto"/>
              <w:jc w:val="center"/>
              <w:rPr>
                <w:b/>
                <w:sz w:val="28"/>
                <w:szCs w:val="28"/>
              </w:rPr>
            </w:pPr>
            <w:r>
              <w:rPr>
                <w:b/>
                <w:sz w:val="28"/>
                <w:szCs w:val="28"/>
              </w:rPr>
              <w:t>-5.75</w:t>
            </w:r>
            <w:r w:rsidR="00033193">
              <w:rPr>
                <w:b/>
                <w:sz w:val="28"/>
                <w:szCs w:val="28"/>
              </w:rPr>
              <w:t>%</w:t>
            </w:r>
            <w:r w:rsidR="00FB1B66">
              <w:rPr>
                <w:b/>
                <w:sz w:val="28"/>
                <w:szCs w:val="28"/>
              </w:rPr>
              <w:t xml:space="preserve"> </w:t>
            </w:r>
            <w:r w:rsidR="00FB1B66" w:rsidRPr="00EC5E64">
              <w:rPr>
                <w:b/>
                <w:color w:val="00B050"/>
                <w:sz w:val="28"/>
                <w:szCs w:val="28"/>
              </w:rPr>
              <w:sym w:font="Wingdings" w:char="F0EA"/>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ED9F171" w14:textId="40304AF2" w:rsidR="00653CE6" w:rsidRPr="00CA2DF0" w:rsidRDefault="00653CE6" w:rsidP="00033193">
            <w:pPr>
              <w:spacing w:after="0" w:line="240" w:lineRule="auto"/>
              <w:jc w:val="center"/>
              <w:rPr>
                <w:sz w:val="28"/>
                <w:szCs w:val="28"/>
              </w:rPr>
            </w:pPr>
            <w:r w:rsidRPr="00CA2DF0">
              <w:rPr>
                <w:sz w:val="28"/>
                <w:szCs w:val="28"/>
              </w:rPr>
              <w:t>CHANGE BASE YEAR TO 201</w:t>
            </w:r>
            <w:r w:rsidR="00033193">
              <w:rPr>
                <w:sz w:val="28"/>
                <w:szCs w:val="28"/>
              </w:rPr>
              <w:t>8</w:t>
            </w:r>
            <w:r w:rsidRPr="00CA2DF0">
              <w:rPr>
                <w:sz w:val="28"/>
                <w:szCs w:val="28"/>
              </w:rPr>
              <w:t>/1</w:t>
            </w:r>
            <w:r w:rsidR="00033193">
              <w:rPr>
                <w:sz w:val="28"/>
                <w:szCs w:val="28"/>
              </w:rPr>
              <w:t>9</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4A104F98" w14:textId="696F0F92" w:rsidR="00653CE6" w:rsidRPr="00FB1B66" w:rsidRDefault="00FB1B66" w:rsidP="009A329B">
            <w:pPr>
              <w:spacing w:after="0" w:line="240" w:lineRule="auto"/>
              <w:jc w:val="center"/>
              <w:rPr>
                <w:sz w:val="28"/>
                <w:szCs w:val="28"/>
              </w:rPr>
            </w:pPr>
            <w:r w:rsidRPr="00FB1B66">
              <w:rPr>
                <w:sz w:val="28"/>
                <w:szCs w:val="28"/>
              </w:rPr>
              <w:t>22.05</w:t>
            </w:r>
            <w:r w:rsidR="00FB3E89" w:rsidRPr="00FB1B66">
              <w:rPr>
                <w:sz w:val="28"/>
                <w:szCs w:val="28"/>
              </w:rPr>
              <w:t>%</w:t>
            </w:r>
            <w:r>
              <w:rPr>
                <w:sz w:val="28"/>
                <w:szCs w:val="28"/>
              </w:rPr>
              <w:t xml:space="preserve"> </w:t>
            </w:r>
            <w:r w:rsidRPr="00C14931">
              <w:rPr>
                <w:b/>
                <w:color w:val="FF0000"/>
                <w:sz w:val="28"/>
                <w:szCs w:val="28"/>
              </w:rPr>
              <w:sym w:font="Wingdings" w:char="F0E9"/>
            </w:r>
          </w:p>
        </w:tc>
      </w:tr>
      <w:tr w:rsidR="00653CE6" w:rsidRPr="00CA2DF0" w14:paraId="0BF55EB8" w14:textId="77777777" w:rsidTr="00B318EA">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129212" w14:textId="2AB14FE9" w:rsidR="00653CE6" w:rsidRPr="00CA2DF0" w:rsidRDefault="00653CE6" w:rsidP="00033193">
            <w:pPr>
              <w:spacing w:after="0" w:line="240" w:lineRule="auto"/>
              <w:jc w:val="center"/>
              <w:rPr>
                <w:b/>
                <w:sz w:val="28"/>
                <w:szCs w:val="28"/>
              </w:rPr>
            </w:pPr>
            <w:r w:rsidRPr="00CA2DF0">
              <w:rPr>
                <w:b/>
                <w:sz w:val="28"/>
                <w:szCs w:val="28"/>
              </w:rPr>
              <w:t>RANK POSITION:</w:t>
            </w:r>
            <w:r w:rsidR="00513443" w:rsidRPr="00FB3E89">
              <w:rPr>
                <w:b/>
                <w:sz w:val="28"/>
                <w:szCs w:val="28"/>
              </w:rPr>
              <w:t xml:space="preserve">  </w:t>
            </w:r>
            <w:r w:rsidR="00FB3E89">
              <w:rPr>
                <w:b/>
                <w:sz w:val="28"/>
                <w:szCs w:val="28"/>
              </w:rPr>
              <w:t>4</w:t>
            </w:r>
            <w:r w:rsidR="00513443" w:rsidRPr="00FB3E89">
              <w:rPr>
                <w:b/>
                <w:sz w:val="28"/>
                <w:szCs w:val="28"/>
              </w:rPr>
              <w:t xml:space="preserve">  </w:t>
            </w:r>
            <w:r w:rsidRPr="00CA2DF0">
              <w:rPr>
                <w:b/>
                <w:sz w:val="28"/>
                <w:szCs w:val="28"/>
              </w:rPr>
              <w:t>RANK MOVEMENT:</w:t>
            </w:r>
            <w:r w:rsidR="005A0783">
              <w:rPr>
                <w:b/>
                <w:sz w:val="28"/>
                <w:szCs w:val="28"/>
              </w:rPr>
              <w:t xml:space="preserve"> </w:t>
            </w:r>
            <w:r w:rsidR="00FB3E89">
              <w:rPr>
                <w:b/>
                <w:sz w:val="28"/>
                <w:szCs w:val="28"/>
              </w:rPr>
              <w:t>-2</w:t>
            </w:r>
            <w:r w:rsidR="00FB1B66">
              <w:rPr>
                <w:b/>
                <w:sz w:val="28"/>
                <w:szCs w:val="28"/>
              </w:rPr>
              <w:t xml:space="preserve"> </w:t>
            </w:r>
            <w:r w:rsidR="00FB1B66" w:rsidRPr="00C14931">
              <w:rPr>
                <w:b/>
                <w:color w:val="FF0000"/>
                <w:sz w:val="28"/>
                <w:szCs w:val="28"/>
              </w:rPr>
              <w:sym w:font="Wingdings" w:char="F0EA"/>
            </w:r>
          </w:p>
        </w:tc>
        <w:tc>
          <w:tcPr>
            <w:tcW w:w="780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717AB818" w14:textId="77777777" w:rsidR="00653CE6" w:rsidRPr="00CA2DF0" w:rsidRDefault="00653CE6" w:rsidP="009A329B">
            <w:pPr>
              <w:spacing w:after="0" w:line="240" w:lineRule="auto"/>
              <w:rPr>
                <w:sz w:val="28"/>
                <w:szCs w:val="28"/>
              </w:rPr>
            </w:pPr>
          </w:p>
        </w:tc>
      </w:tr>
      <w:tr w:rsidR="005A0783" w:rsidRPr="00CA2DF0" w14:paraId="5344AEF0" w14:textId="77777777" w:rsidTr="00B318EA">
        <w:trPr>
          <w:trHeight w:val="397"/>
          <w:jc w:val="center"/>
        </w:trPr>
        <w:tc>
          <w:tcPr>
            <w:tcW w:w="7508"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5F3F5ED5" w14:textId="16FCE178" w:rsidR="005A0783" w:rsidRPr="00CA2DF0" w:rsidRDefault="005A0783" w:rsidP="00033193">
            <w:pPr>
              <w:spacing w:after="0" w:line="240" w:lineRule="auto"/>
              <w:jc w:val="center"/>
              <w:rPr>
                <w:b/>
                <w:sz w:val="28"/>
                <w:szCs w:val="28"/>
              </w:rPr>
            </w:pPr>
            <w:r>
              <w:rPr>
                <w:b/>
                <w:sz w:val="28"/>
                <w:szCs w:val="28"/>
              </w:rPr>
              <w:t>FA</w:t>
            </w:r>
            <w:r w:rsidR="00DF5FDA">
              <w:rPr>
                <w:b/>
                <w:sz w:val="28"/>
                <w:szCs w:val="28"/>
              </w:rPr>
              <w:t>MILY GROUP RANKING 201</w:t>
            </w:r>
            <w:r w:rsidR="00033193">
              <w:rPr>
                <w:b/>
                <w:sz w:val="28"/>
                <w:szCs w:val="28"/>
              </w:rPr>
              <w:t>8</w:t>
            </w:r>
            <w:r w:rsidR="00DF5FDA">
              <w:rPr>
                <w:b/>
                <w:sz w:val="28"/>
                <w:szCs w:val="28"/>
              </w:rPr>
              <w:t>/1</w:t>
            </w:r>
            <w:r w:rsidR="00033193">
              <w:rPr>
                <w:b/>
                <w:sz w:val="28"/>
                <w:szCs w:val="28"/>
              </w:rPr>
              <w:t>9</w:t>
            </w:r>
          </w:p>
        </w:tc>
        <w:tc>
          <w:tcPr>
            <w:tcW w:w="7801" w:type="dxa"/>
            <w:gridSpan w:val="2"/>
            <w:tcBorders>
              <w:left w:val="single" w:sz="4" w:space="0" w:color="auto"/>
              <w:right w:val="single" w:sz="4" w:space="0" w:color="auto"/>
            </w:tcBorders>
            <w:shd w:val="clear" w:color="auto" w:fill="D9D9D9" w:themeFill="background1" w:themeFillShade="D9"/>
            <w:vAlign w:val="center"/>
          </w:tcPr>
          <w:p w14:paraId="1D25EEBE" w14:textId="77777777" w:rsidR="005A0783" w:rsidRPr="00CA2DF0" w:rsidRDefault="005A0783" w:rsidP="009A329B">
            <w:pPr>
              <w:spacing w:after="0" w:line="240" w:lineRule="auto"/>
              <w:rPr>
                <w:sz w:val="28"/>
                <w:szCs w:val="28"/>
              </w:rPr>
            </w:pPr>
          </w:p>
        </w:tc>
      </w:tr>
      <w:tr w:rsidR="00815DA6" w:rsidRPr="00CA2DF0" w14:paraId="287469C3" w14:textId="77777777" w:rsidTr="00B318EA">
        <w:trPr>
          <w:trHeight w:val="397"/>
          <w:jc w:val="center"/>
        </w:trPr>
        <w:tc>
          <w:tcPr>
            <w:tcW w:w="7508" w:type="dxa"/>
            <w:gridSpan w:val="2"/>
            <w:tcBorders>
              <w:left w:val="single" w:sz="4" w:space="0" w:color="auto"/>
              <w:bottom w:val="single" w:sz="4" w:space="0" w:color="auto"/>
              <w:right w:val="single" w:sz="4" w:space="0" w:color="auto"/>
            </w:tcBorders>
            <w:shd w:val="clear" w:color="auto" w:fill="D9E2F3" w:themeFill="accent5" w:themeFillTint="33"/>
            <w:vAlign w:val="center"/>
          </w:tcPr>
          <w:p w14:paraId="0CF804B5" w14:textId="24AD0474" w:rsidR="00815DA6" w:rsidRDefault="00815DA6" w:rsidP="00033193">
            <w:pPr>
              <w:spacing w:after="0" w:line="240" w:lineRule="auto"/>
              <w:jc w:val="center"/>
              <w:rPr>
                <w:b/>
                <w:sz w:val="28"/>
                <w:szCs w:val="28"/>
              </w:rPr>
            </w:pPr>
            <w:r>
              <w:rPr>
                <w:b/>
                <w:sz w:val="28"/>
                <w:szCs w:val="28"/>
              </w:rPr>
              <w:t>RANK POSITION</w:t>
            </w:r>
            <w:r w:rsidR="00265341">
              <w:rPr>
                <w:b/>
                <w:sz w:val="28"/>
                <w:szCs w:val="28"/>
              </w:rPr>
              <w:t>:</w:t>
            </w:r>
            <w:r w:rsidR="00FD1CF1">
              <w:rPr>
                <w:b/>
                <w:sz w:val="28"/>
                <w:szCs w:val="28"/>
                <w:vertAlign w:val="superscript"/>
              </w:rPr>
              <w:t xml:space="preserve"> </w:t>
            </w:r>
            <w:r w:rsidR="00FD1CF1">
              <w:rPr>
                <w:b/>
                <w:sz w:val="28"/>
                <w:szCs w:val="28"/>
              </w:rPr>
              <w:t xml:space="preserve"> </w:t>
            </w:r>
            <w:r w:rsidR="00FB3E89">
              <w:rPr>
                <w:b/>
                <w:sz w:val="28"/>
                <w:szCs w:val="28"/>
              </w:rPr>
              <w:t>1</w:t>
            </w:r>
            <w:r w:rsidR="00FD1CF1">
              <w:rPr>
                <w:b/>
                <w:sz w:val="28"/>
                <w:szCs w:val="28"/>
              </w:rPr>
              <w:t xml:space="preserve">  </w:t>
            </w:r>
            <w:r>
              <w:rPr>
                <w:b/>
                <w:sz w:val="28"/>
                <w:szCs w:val="28"/>
              </w:rPr>
              <w:t>RANK MOVEMENT</w:t>
            </w:r>
            <w:r w:rsidR="00265341">
              <w:rPr>
                <w:b/>
                <w:sz w:val="28"/>
                <w:szCs w:val="28"/>
              </w:rPr>
              <w:t>:</w:t>
            </w:r>
            <w:r>
              <w:rPr>
                <w:b/>
                <w:sz w:val="28"/>
                <w:szCs w:val="28"/>
              </w:rPr>
              <w:t xml:space="preserve"> </w:t>
            </w:r>
            <w:r w:rsidR="00FB3E89">
              <w:rPr>
                <w:b/>
                <w:sz w:val="28"/>
                <w:szCs w:val="28"/>
              </w:rPr>
              <w:t>1</w:t>
            </w:r>
            <w:r w:rsidR="00FB1B66">
              <w:rPr>
                <w:b/>
                <w:sz w:val="28"/>
                <w:szCs w:val="28"/>
              </w:rPr>
              <w:t xml:space="preserve"> </w:t>
            </w:r>
            <w:r w:rsidR="00FB1B66" w:rsidRPr="00EC5E64">
              <w:rPr>
                <w:b/>
                <w:color w:val="00B050"/>
                <w:sz w:val="28"/>
                <w:szCs w:val="28"/>
              </w:rPr>
              <w:sym w:font="Wingdings" w:char="F0E9"/>
            </w:r>
          </w:p>
        </w:tc>
        <w:tc>
          <w:tcPr>
            <w:tcW w:w="7801"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21D94D3A" w14:textId="77777777" w:rsidR="00815DA6" w:rsidRPr="00CA2DF0" w:rsidRDefault="00815DA6" w:rsidP="009A329B">
            <w:pPr>
              <w:spacing w:after="0" w:line="240" w:lineRule="auto"/>
              <w:rPr>
                <w:sz w:val="28"/>
                <w:szCs w:val="28"/>
              </w:rPr>
            </w:pPr>
          </w:p>
        </w:tc>
      </w:tr>
      <w:tr w:rsidR="00653CE6" w:rsidRPr="00CA2DF0" w14:paraId="02118835" w14:textId="77777777" w:rsidTr="00CA2DF0">
        <w:trPr>
          <w:jc w:val="center"/>
        </w:trPr>
        <w:tc>
          <w:tcPr>
            <w:tcW w:w="15309" w:type="dxa"/>
            <w:gridSpan w:val="4"/>
            <w:tcBorders>
              <w:top w:val="single" w:sz="4" w:space="0" w:color="auto"/>
              <w:left w:val="single" w:sz="4" w:space="0" w:color="auto"/>
              <w:bottom w:val="single" w:sz="4" w:space="0" w:color="auto"/>
              <w:right w:val="single" w:sz="4" w:space="0" w:color="auto"/>
            </w:tcBorders>
            <w:shd w:val="clear" w:color="auto" w:fill="auto"/>
          </w:tcPr>
          <w:p w14:paraId="150A2074" w14:textId="12D1C4ED" w:rsidR="00815DA6" w:rsidRPr="00815DA6" w:rsidRDefault="00815DA6" w:rsidP="009A329B">
            <w:pPr>
              <w:spacing w:after="0" w:line="240" w:lineRule="auto"/>
              <w:rPr>
                <w:sz w:val="6"/>
                <w:szCs w:val="6"/>
              </w:rPr>
            </w:pPr>
          </w:p>
          <w:p w14:paraId="408BC7F9" w14:textId="77777777" w:rsidR="00653CE6" w:rsidRPr="00CA2DF0" w:rsidRDefault="00653CE6" w:rsidP="000F4CDF">
            <w:pPr>
              <w:spacing w:after="120" w:line="240" w:lineRule="auto"/>
              <w:rPr>
                <w:b/>
                <w:sz w:val="28"/>
                <w:szCs w:val="28"/>
              </w:rPr>
            </w:pPr>
            <w:r w:rsidRPr="00CA2DF0">
              <w:rPr>
                <w:b/>
                <w:sz w:val="28"/>
                <w:szCs w:val="28"/>
              </w:rPr>
              <w:t xml:space="preserve">TELLING OUR STORY: </w:t>
            </w:r>
          </w:p>
          <w:p w14:paraId="27AC8594" w14:textId="4C1006E2" w:rsidR="00695EBE" w:rsidRPr="001453C3" w:rsidRDefault="00695EBE" w:rsidP="000F4CDF">
            <w:pPr>
              <w:spacing w:after="120" w:line="240" w:lineRule="auto"/>
              <w:rPr>
                <w:rFonts w:cstheme="minorHAnsi"/>
                <w:sz w:val="24"/>
                <w:szCs w:val="24"/>
              </w:rPr>
            </w:pPr>
            <w:r w:rsidRPr="001453C3">
              <w:rPr>
                <w:rFonts w:cstheme="minorHAnsi"/>
                <w:sz w:val="24"/>
                <w:szCs w:val="24"/>
              </w:rPr>
              <w:t>Gross cost of 'Children Looked After' in residential based services per child per week increased between 2017/18 and 2018/19.</w:t>
            </w:r>
          </w:p>
          <w:p w14:paraId="6474B616" w14:textId="093B51EF" w:rsidR="00695EBE" w:rsidRPr="001453C3" w:rsidRDefault="00695EBE" w:rsidP="000F4CDF">
            <w:pPr>
              <w:spacing w:after="120" w:line="240" w:lineRule="auto"/>
              <w:rPr>
                <w:rFonts w:cstheme="minorHAnsi"/>
                <w:sz w:val="24"/>
                <w:szCs w:val="24"/>
              </w:rPr>
            </w:pPr>
            <w:r w:rsidRPr="001453C3">
              <w:rPr>
                <w:rFonts w:cstheme="minorHAnsi"/>
                <w:sz w:val="24"/>
                <w:szCs w:val="24"/>
              </w:rPr>
              <w:t>Although costs have consistently been lower than in the base year of the LGBF (2010-11), where real costs were reported as £2,779, there is no clear trend of improving or worsening performance across the subsequent period.</w:t>
            </w:r>
          </w:p>
          <w:p w14:paraId="35B971D4" w14:textId="010E7487" w:rsidR="008B75D4" w:rsidRPr="001453C3" w:rsidRDefault="008B75D4" w:rsidP="000F4CDF">
            <w:pPr>
              <w:spacing w:after="120" w:line="240" w:lineRule="auto"/>
              <w:rPr>
                <w:rFonts w:cstheme="minorHAnsi"/>
                <w:sz w:val="24"/>
                <w:szCs w:val="24"/>
              </w:rPr>
            </w:pPr>
            <w:r w:rsidRPr="001453C3">
              <w:rPr>
                <w:rFonts w:cstheme="minorHAnsi"/>
                <w:sz w:val="24"/>
                <w:szCs w:val="24"/>
              </w:rPr>
              <w:t>Throughout the lifetime of the LGBF, the gross cost of 'children looked after' in residential based services per child per week in Argyll and Bute has consistently been below the Scottish average.</w:t>
            </w:r>
          </w:p>
          <w:p w14:paraId="640A815C" w14:textId="77777777" w:rsidR="00695EBE" w:rsidRPr="007B0701" w:rsidRDefault="00695EBE" w:rsidP="00033193">
            <w:pPr>
              <w:spacing w:after="0" w:line="240" w:lineRule="auto"/>
              <w:rPr>
                <w:rFonts w:ascii="Arial" w:hAnsi="Arial" w:cs="Arial"/>
                <w:szCs w:val="24"/>
              </w:rPr>
            </w:pPr>
          </w:p>
        </w:tc>
      </w:tr>
      <w:tr w:rsidR="007B0701" w14:paraId="1E67B95D" w14:textId="77777777" w:rsidTr="005543B2">
        <w:trPr>
          <w:jc w:val="center"/>
        </w:trPr>
        <w:tc>
          <w:tcPr>
            <w:tcW w:w="15309" w:type="dxa"/>
            <w:gridSpan w:val="4"/>
            <w:tcBorders>
              <w:top w:val="single" w:sz="4" w:space="0" w:color="auto"/>
              <w:left w:val="single" w:sz="4" w:space="0" w:color="auto"/>
              <w:bottom w:val="single" w:sz="4" w:space="0" w:color="auto"/>
              <w:right w:val="single" w:sz="4" w:space="0" w:color="auto"/>
            </w:tcBorders>
            <w:shd w:val="clear" w:color="auto" w:fill="auto"/>
          </w:tcPr>
          <w:p w14:paraId="09A9BD6A" w14:textId="77777777" w:rsidR="007B0701" w:rsidRPr="00815DA6" w:rsidRDefault="007B0701" w:rsidP="005543B2">
            <w:pPr>
              <w:spacing w:after="0" w:line="240" w:lineRule="auto"/>
              <w:rPr>
                <w:sz w:val="6"/>
                <w:szCs w:val="6"/>
              </w:rPr>
            </w:pPr>
          </w:p>
          <w:p w14:paraId="4FD44008" w14:textId="77777777" w:rsidR="007B0701" w:rsidRDefault="007B0701" w:rsidP="000F4CDF">
            <w:pPr>
              <w:spacing w:after="120" w:line="240" w:lineRule="auto"/>
              <w:rPr>
                <w:b/>
                <w:sz w:val="28"/>
                <w:szCs w:val="28"/>
              </w:rPr>
            </w:pPr>
            <w:r w:rsidRPr="00CA2DF0">
              <w:rPr>
                <w:b/>
                <w:sz w:val="28"/>
                <w:szCs w:val="28"/>
              </w:rPr>
              <w:t>LOOKING FORWARD - EXPECTED IMPACT ON INDICATOR:</w:t>
            </w:r>
          </w:p>
          <w:p w14:paraId="27D7D734" w14:textId="6037B390" w:rsidR="007B0701" w:rsidRPr="00815DA6" w:rsidRDefault="003C7E69" w:rsidP="000F4CDF">
            <w:pPr>
              <w:spacing w:after="120" w:line="240" w:lineRule="auto"/>
              <w:rPr>
                <w:rFonts w:ascii="Arial" w:hAnsi="Arial" w:cs="Arial"/>
                <w:szCs w:val="24"/>
              </w:rPr>
            </w:pPr>
            <w:r w:rsidRPr="00010AD3">
              <w:rPr>
                <w:sz w:val="24"/>
                <w:szCs w:val="24"/>
              </w:rPr>
              <w:t>Overall it is anticipated that continuing improvements in our residential services</w:t>
            </w:r>
            <w:r>
              <w:rPr>
                <w:sz w:val="24"/>
                <w:szCs w:val="24"/>
              </w:rPr>
              <w:t xml:space="preserve"> supported by our </w:t>
            </w:r>
            <w:r w:rsidRPr="00010AD3">
              <w:rPr>
                <w:sz w:val="24"/>
                <w:szCs w:val="24"/>
              </w:rPr>
              <w:t xml:space="preserve">focus on reducing </w:t>
            </w:r>
            <w:r>
              <w:rPr>
                <w:sz w:val="24"/>
                <w:szCs w:val="24"/>
              </w:rPr>
              <w:t xml:space="preserve">need for </w:t>
            </w:r>
            <w:r w:rsidRPr="00010AD3">
              <w:rPr>
                <w:sz w:val="24"/>
                <w:szCs w:val="24"/>
              </w:rPr>
              <w:t>external placements will continue to impact positively on our performance</w:t>
            </w:r>
            <w:r>
              <w:rPr>
                <w:b/>
                <w:sz w:val="28"/>
                <w:szCs w:val="28"/>
              </w:rPr>
              <w:t xml:space="preserve">.  </w:t>
            </w:r>
            <w:r w:rsidRPr="00D02FD1">
              <w:rPr>
                <w:sz w:val="24"/>
                <w:szCs w:val="24"/>
              </w:rPr>
              <w:t xml:space="preserve">There is some risk of volatility </w:t>
            </w:r>
            <w:r>
              <w:rPr>
                <w:sz w:val="24"/>
                <w:szCs w:val="24"/>
              </w:rPr>
              <w:t>largely related to</w:t>
            </w:r>
            <w:r w:rsidRPr="00D02FD1">
              <w:rPr>
                <w:sz w:val="24"/>
                <w:szCs w:val="24"/>
              </w:rPr>
              <w:t xml:space="preserve"> the anticipated growth in continuing care </w:t>
            </w:r>
            <w:r w:rsidRPr="00D02FD1">
              <w:rPr>
                <w:sz w:val="24"/>
                <w:szCs w:val="24"/>
              </w:rPr>
              <w:lastRenderedPageBreak/>
              <w:t xml:space="preserve">responsibilities </w:t>
            </w:r>
            <w:r>
              <w:rPr>
                <w:sz w:val="24"/>
                <w:szCs w:val="24"/>
              </w:rPr>
              <w:t xml:space="preserve">and how this may </w:t>
            </w:r>
            <w:r w:rsidRPr="00D02FD1">
              <w:rPr>
                <w:sz w:val="24"/>
                <w:szCs w:val="24"/>
              </w:rPr>
              <w:t xml:space="preserve">impact on overall placement sufficiency, and </w:t>
            </w:r>
            <w:r>
              <w:rPr>
                <w:sz w:val="24"/>
                <w:szCs w:val="24"/>
              </w:rPr>
              <w:t xml:space="preserve">thus potentially </w:t>
            </w:r>
            <w:r w:rsidRPr="00D02FD1">
              <w:rPr>
                <w:sz w:val="24"/>
                <w:szCs w:val="24"/>
              </w:rPr>
              <w:t>on external placements</w:t>
            </w:r>
            <w:r>
              <w:rPr>
                <w:b/>
                <w:sz w:val="28"/>
                <w:szCs w:val="28"/>
              </w:rPr>
              <w:t xml:space="preserve"> .   </w:t>
            </w:r>
            <w:r w:rsidRPr="00D02FD1">
              <w:rPr>
                <w:sz w:val="24"/>
                <w:szCs w:val="24"/>
              </w:rPr>
              <w:t>Mitigations are in place with the implementation of core cluster, expansion of supported lodgings and after care supports</w:t>
            </w:r>
            <w:r>
              <w:rPr>
                <w:sz w:val="24"/>
                <w:szCs w:val="24"/>
              </w:rPr>
              <w:t>.</w:t>
            </w:r>
          </w:p>
        </w:tc>
      </w:tr>
    </w:tbl>
    <w:p w14:paraId="14127DBE" w14:textId="2F2495B9" w:rsidR="00336A54" w:rsidRDefault="00336A54"/>
    <w:p w14:paraId="2990B15A" w14:textId="77777777" w:rsidR="00336A54" w:rsidRDefault="00336A54">
      <w:r>
        <w:br w:type="page"/>
      </w:r>
    </w:p>
    <w:tbl>
      <w:tblPr>
        <w:tblW w:w="15309" w:type="dxa"/>
        <w:jc w:val="center"/>
        <w:tblLook w:val="04A0" w:firstRow="1" w:lastRow="0" w:firstColumn="1" w:lastColumn="0" w:noHBand="0" w:noVBand="1"/>
      </w:tblPr>
      <w:tblGrid>
        <w:gridCol w:w="5382"/>
        <w:gridCol w:w="2126"/>
        <w:gridCol w:w="5812"/>
        <w:gridCol w:w="1989"/>
      </w:tblGrid>
      <w:tr w:rsidR="006452B6" w:rsidRPr="005D65E6" w14:paraId="5DA608C5" w14:textId="77777777" w:rsidTr="00033193">
        <w:trPr>
          <w:trHeight w:val="794"/>
          <w:jc w:val="center"/>
        </w:trPr>
        <w:tc>
          <w:tcPr>
            <w:tcW w:w="153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722298" w14:textId="77777777" w:rsidR="006452B6" w:rsidRPr="005D65E6" w:rsidRDefault="006452B6" w:rsidP="005D65E6">
            <w:pPr>
              <w:rPr>
                <w:b/>
                <w:sz w:val="32"/>
              </w:rPr>
            </w:pPr>
            <w:r w:rsidRPr="005D65E6">
              <w:rPr>
                <w:b/>
                <w:sz w:val="32"/>
              </w:rPr>
              <w:lastRenderedPageBreak/>
              <w:t>SERIVCE: CHILDREN AND FAMILIES</w:t>
            </w:r>
          </w:p>
        </w:tc>
      </w:tr>
      <w:tr w:rsidR="00171D32" w14:paraId="5A79E8F0" w14:textId="77777777" w:rsidTr="00033193">
        <w:trPr>
          <w:trHeight w:val="567"/>
          <w:jc w:val="center"/>
        </w:trPr>
        <w:tc>
          <w:tcPr>
            <w:tcW w:w="153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AB5F75" w14:textId="77777777" w:rsidR="00171D32" w:rsidRPr="00DF5FDA" w:rsidRDefault="00171D32" w:rsidP="009A329B">
            <w:pPr>
              <w:pStyle w:val="Heading1"/>
              <w:spacing w:before="0" w:line="240" w:lineRule="auto"/>
              <w:rPr>
                <w:b/>
              </w:rPr>
            </w:pPr>
            <w:bookmarkStart w:id="12" w:name="_Toc56757690"/>
            <w:r w:rsidRPr="00DF5FDA">
              <w:rPr>
                <w:b/>
                <w:color w:val="auto"/>
              </w:rPr>
              <w:t xml:space="preserve">INDICATOR REF: CHN8b - The </w:t>
            </w:r>
            <w:r w:rsidR="002E68F4" w:rsidRPr="00DF5FDA">
              <w:rPr>
                <w:b/>
                <w:color w:val="auto"/>
              </w:rPr>
              <w:t xml:space="preserve">gross cost </w:t>
            </w:r>
            <w:r w:rsidRPr="00DF5FDA">
              <w:rPr>
                <w:b/>
                <w:color w:val="auto"/>
              </w:rPr>
              <w:t>of "Children Looked After" in a community setting per child per week</w:t>
            </w:r>
            <w:bookmarkEnd w:id="12"/>
            <w:r w:rsidR="00E10B0A" w:rsidRPr="00DF5FDA">
              <w:rPr>
                <w:b/>
                <w:color w:val="auto"/>
              </w:rPr>
              <w:t xml:space="preserve"> </w:t>
            </w:r>
          </w:p>
        </w:tc>
      </w:tr>
      <w:tr w:rsidR="003E452D" w14:paraId="5FB771B8" w14:textId="77777777" w:rsidTr="00033193">
        <w:trPr>
          <w:trHeight w:val="454"/>
          <w:jc w:val="center"/>
        </w:trPr>
        <w:tc>
          <w:tcPr>
            <w:tcW w:w="153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EA2C70" w14:textId="7C16D09E" w:rsidR="003E452D" w:rsidRDefault="003E452D" w:rsidP="00033193">
            <w:pPr>
              <w:spacing w:after="0" w:line="240" w:lineRule="auto"/>
              <w:jc w:val="center"/>
              <w:rPr>
                <w:b/>
                <w:sz w:val="28"/>
                <w:szCs w:val="28"/>
              </w:rPr>
            </w:pPr>
            <w:r w:rsidRPr="00C577BD">
              <w:rPr>
                <w:b/>
                <w:color w:val="0070C0"/>
                <w:sz w:val="28"/>
                <w:szCs w:val="28"/>
              </w:rPr>
              <w:t>Performance Range:</w:t>
            </w:r>
            <w:r w:rsidR="00BE08CC">
              <w:rPr>
                <w:b/>
                <w:color w:val="0070C0"/>
                <w:sz w:val="28"/>
                <w:szCs w:val="28"/>
              </w:rPr>
              <w:t xml:space="preserve"> </w:t>
            </w:r>
            <w:r w:rsidR="0014490C">
              <w:rPr>
                <w:b/>
                <w:color w:val="0070C0"/>
                <w:sz w:val="28"/>
                <w:szCs w:val="28"/>
              </w:rPr>
              <w:t>£</w:t>
            </w:r>
            <w:r w:rsidR="00FB3E89">
              <w:rPr>
                <w:b/>
                <w:color w:val="0070C0"/>
                <w:sz w:val="28"/>
                <w:szCs w:val="28"/>
              </w:rPr>
              <w:t>209</w:t>
            </w:r>
            <w:r w:rsidR="0014490C">
              <w:rPr>
                <w:b/>
                <w:color w:val="0070C0"/>
                <w:sz w:val="28"/>
                <w:szCs w:val="28"/>
              </w:rPr>
              <w:t xml:space="preserve"> to</w:t>
            </w:r>
            <w:r w:rsidR="00DF5FDA">
              <w:rPr>
                <w:b/>
                <w:color w:val="0070C0"/>
                <w:sz w:val="28"/>
                <w:szCs w:val="28"/>
              </w:rPr>
              <w:t xml:space="preserve"> £</w:t>
            </w:r>
            <w:r w:rsidR="00FB3E89">
              <w:rPr>
                <w:b/>
                <w:color w:val="0070C0"/>
                <w:sz w:val="28"/>
                <w:szCs w:val="28"/>
              </w:rPr>
              <w:t>623</w:t>
            </w:r>
            <w:r w:rsidR="00033193">
              <w:rPr>
                <w:b/>
                <w:color w:val="0070C0"/>
                <w:sz w:val="28"/>
                <w:szCs w:val="28"/>
              </w:rPr>
              <w:t xml:space="preserve">  </w:t>
            </w:r>
            <w:r w:rsidR="00BE08CC" w:rsidRPr="00BE08CC">
              <w:rPr>
                <w:b/>
                <w:color w:val="0070C0"/>
                <w:sz w:val="28"/>
                <w:szCs w:val="28"/>
              </w:rPr>
              <w:t>(Lowest is best)</w:t>
            </w:r>
          </w:p>
        </w:tc>
      </w:tr>
      <w:tr w:rsidR="00171D32" w14:paraId="719E72FB" w14:textId="77777777" w:rsidTr="00033193">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B92800E" w14:textId="77777777" w:rsidR="00171D32" w:rsidRDefault="00171D32" w:rsidP="009A329B">
            <w:pPr>
              <w:spacing w:after="0" w:line="240" w:lineRule="auto"/>
              <w:jc w:val="center"/>
              <w:rPr>
                <w:b/>
                <w:sz w:val="28"/>
                <w:szCs w:val="28"/>
              </w:rPr>
            </w:pPr>
            <w:r>
              <w:rPr>
                <w:b/>
                <w:sz w:val="28"/>
                <w:szCs w:val="28"/>
              </w:rPr>
              <w:t>ARGYLL AND BUTE</w:t>
            </w:r>
          </w:p>
        </w:tc>
        <w:tc>
          <w:tcPr>
            <w:tcW w:w="780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E475540" w14:textId="77777777" w:rsidR="00171D32" w:rsidRDefault="00171D32" w:rsidP="009A329B">
            <w:pPr>
              <w:spacing w:after="0" w:line="240" w:lineRule="auto"/>
              <w:jc w:val="center"/>
              <w:rPr>
                <w:b/>
                <w:sz w:val="28"/>
                <w:szCs w:val="28"/>
              </w:rPr>
            </w:pPr>
            <w:r>
              <w:rPr>
                <w:b/>
                <w:sz w:val="28"/>
                <w:szCs w:val="28"/>
              </w:rPr>
              <w:t>SCOTLAND</w:t>
            </w:r>
          </w:p>
        </w:tc>
      </w:tr>
      <w:tr w:rsidR="00171D32" w14:paraId="233C36F0" w14:textId="77777777" w:rsidTr="00033193">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ADF540" w14:textId="124E3C41" w:rsidR="00171D32" w:rsidRPr="0098154A" w:rsidRDefault="00033193" w:rsidP="009A329B">
            <w:pPr>
              <w:spacing w:after="0" w:line="240" w:lineRule="auto"/>
              <w:jc w:val="center"/>
              <w:rPr>
                <w:b/>
                <w:sz w:val="28"/>
                <w:szCs w:val="28"/>
              </w:rPr>
            </w:pPr>
            <w:r>
              <w:rPr>
                <w:b/>
                <w:sz w:val="28"/>
                <w:szCs w:val="28"/>
              </w:rPr>
              <w:t>£</w:t>
            </w:r>
            <w:r w:rsidR="00FB3E89">
              <w:rPr>
                <w:b/>
                <w:sz w:val="28"/>
                <w:szCs w:val="28"/>
              </w:rPr>
              <w:t>330</w:t>
            </w:r>
          </w:p>
        </w:tc>
        <w:tc>
          <w:tcPr>
            <w:tcW w:w="7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A69202" w14:textId="61770367" w:rsidR="00171D32" w:rsidRDefault="00033193" w:rsidP="009A329B">
            <w:pPr>
              <w:spacing w:after="0" w:line="240" w:lineRule="auto"/>
              <w:jc w:val="center"/>
              <w:rPr>
                <w:b/>
                <w:sz w:val="28"/>
                <w:szCs w:val="28"/>
              </w:rPr>
            </w:pPr>
            <w:r>
              <w:rPr>
                <w:sz w:val="28"/>
                <w:szCs w:val="28"/>
              </w:rPr>
              <w:t>£</w:t>
            </w:r>
            <w:r w:rsidR="00FB3E89">
              <w:rPr>
                <w:sz w:val="28"/>
                <w:szCs w:val="28"/>
              </w:rPr>
              <w:t>349</w:t>
            </w:r>
          </w:p>
        </w:tc>
      </w:tr>
      <w:tr w:rsidR="00653CE6" w14:paraId="0D419E4B" w14:textId="77777777" w:rsidTr="00033193">
        <w:trPr>
          <w:trHeight w:val="397"/>
          <w:jc w:val="center"/>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5814515B" w14:textId="24E97140" w:rsidR="00653CE6" w:rsidRPr="0098154A" w:rsidRDefault="00653CE6" w:rsidP="00033193">
            <w:pPr>
              <w:spacing w:after="0" w:line="240" w:lineRule="auto"/>
              <w:jc w:val="center"/>
              <w:rPr>
                <w:b/>
                <w:sz w:val="28"/>
                <w:szCs w:val="28"/>
              </w:rPr>
            </w:pPr>
            <w:r w:rsidRPr="0098154A">
              <w:rPr>
                <w:b/>
                <w:sz w:val="28"/>
                <w:szCs w:val="28"/>
              </w:rPr>
              <w:t>CHANGE 201</w:t>
            </w:r>
            <w:r w:rsidR="00033193">
              <w:rPr>
                <w:b/>
                <w:sz w:val="28"/>
                <w:szCs w:val="28"/>
              </w:rPr>
              <w:t>7</w:t>
            </w:r>
            <w:r w:rsidRPr="0098154A">
              <w:rPr>
                <w:b/>
                <w:sz w:val="28"/>
                <w:szCs w:val="28"/>
              </w:rPr>
              <w:t>/1</w:t>
            </w:r>
            <w:r w:rsidR="00033193">
              <w:rPr>
                <w:b/>
                <w:sz w:val="28"/>
                <w:szCs w:val="28"/>
              </w:rPr>
              <w:t>8</w:t>
            </w:r>
            <w:r w:rsidRPr="0098154A">
              <w:rPr>
                <w:b/>
                <w:sz w:val="28"/>
                <w:szCs w:val="28"/>
              </w:rPr>
              <w:t xml:space="preserve"> TO 201</w:t>
            </w:r>
            <w:r w:rsidR="00033193">
              <w:rPr>
                <w:b/>
                <w:sz w:val="28"/>
                <w:szCs w:val="28"/>
              </w:rPr>
              <w:t>8</w:t>
            </w:r>
            <w:r w:rsidRPr="0098154A">
              <w:rPr>
                <w:b/>
                <w:sz w:val="28"/>
                <w:szCs w:val="28"/>
              </w:rPr>
              <w:t>/1</w:t>
            </w:r>
            <w:r w:rsidR="00033193">
              <w:rPr>
                <w:b/>
                <w:sz w:val="28"/>
                <w:szCs w:val="28"/>
              </w:rPr>
              <w:t>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E81E46E" w14:textId="065DE026" w:rsidR="00653CE6" w:rsidRPr="00FB1B66" w:rsidRDefault="00FB1B66" w:rsidP="00254956">
            <w:pPr>
              <w:spacing w:after="0" w:line="240" w:lineRule="auto"/>
              <w:jc w:val="center"/>
              <w:rPr>
                <w:b/>
                <w:sz w:val="28"/>
                <w:szCs w:val="28"/>
              </w:rPr>
            </w:pPr>
            <w:r w:rsidRPr="00FB1B66">
              <w:rPr>
                <w:b/>
                <w:sz w:val="28"/>
                <w:szCs w:val="28"/>
              </w:rPr>
              <w:t>3.05</w:t>
            </w:r>
            <w:r w:rsidR="00033193" w:rsidRPr="00FB1B66">
              <w:rPr>
                <w:b/>
                <w:sz w:val="28"/>
                <w:szCs w:val="28"/>
              </w:rPr>
              <w:t>%</w:t>
            </w:r>
            <w:r>
              <w:rPr>
                <w:b/>
                <w:sz w:val="28"/>
                <w:szCs w:val="28"/>
              </w:rPr>
              <w:t xml:space="preserve"> </w:t>
            </w:r>
            <w:r w:rsidRPr="00C14931">
              <w:rPr>
                <w:b/>
                <w:color w:val="FF0000"/>
                <w:sz w:val="28"/>
                <w:szCs w:val="28"/>
              </w:rPr>
              <w:sym w:font="Wingdings" w:char="F0E9"/>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82517AA" w14:textId="62FDBB4D" w:rsidR="00653CE6" w:rsidRPr="00561760" w:rsidRDefault="00653CE6" w:rsidP="00033193">
            <w:pPr>
              <w:spacing w:after="0" w:line="240" w:lineRule="auto"/>
              <w:jc w:val="center"/>
              <w:rPr>
                <w:sz w:val="28"/>
                <w:szCs w:val="28"/>
              </w:rPr>
            </w:pPr>
            <w:r>
              <w:rPr>
                <w:sz w:val="28"/>
                <w:szCs w:val="28"/>
              </w:rPr>
              <w:t>CHANGE 201</w:t>
            </w:r>
            <w:r w:rsidR="00033193">
              <w:rPr>
                <w:sz w:val="28"/>
                <w:szCs w:val="28"/>
              </w:rPr>
              <w:t>7</w:t>
            </w:r>
            <w:r>
              <w:rPr>
                <w:sz w:val="28"/>
                <w:szCs w:val="28"/>
              </w:rPr>
              <w:t>/1</w:t>
            </w:r>
            <w:r w:rsidR="00033193">
              <w:rPr>
                <w:sz w:val="28"/>
                <w:szCs w:val="28"/>
              </w:rPr>
              <w:t>8</w:t>
            </w:r>
            <w:r>
              <w:rPr>
                <w:sz w:val="28"/>
                <w:szCs w:val="28"/>
              </w:rPr>
              <w:t xml:space="preserve"> TO 201</w:t>
            </w:r>
            <w:r w:rsidR="00033193">
              <w:rPr>
                <w:sz w:val="28"/>
                <w:szCs w:val="28"/>
              </w:rPr>
              <w:t>8</w:t>
            </w:r>
            <w:r>
              <w:rPr>
                <w:sz w:val="28"/>
                <w:szCs w:val="28"/>
              </w:rPr>
              <w:t>/1</w:t>
            </w:r>
            <w:r w:rsidR="00033193">
              <w:rPr>
                <w:sz w:val="28"/>
                <w:szCs w:val="28"/>
              </w:rPr>
              <w:t>9</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4209CE71" w14:textId="5D77DBA0" w:rsidR="00653CE6" w:rsidRPr="00FB1B66" w:rsidRDefault="00FB1B66" w:rsidP="009A329B">
            <w:pPr>
              <w:spacing w:after="0" w:line="240" w:lineRule="auto"/>
              <w:jc w:val="center"/>
              <w:rPr>
                <w:b/>
                <w:sz w:val="28"/>
                <w:szCs w:val="28"/>
              </w:rPr>
            </w:pPr>
            <w:r>
              <w:rPr>
                <w:sz w:val="28"/>
                <w:szCs w:val="28"/>
              </w:rPr>
              <w:t>4</w:t>
            </w:r>
            <w:r w:rsidR="00033193" w:rsidRPr="00FB1B66">
              <w:rPr>
                <w:sz w:val="28"/>
                <w:szCs w:val="28"/>
              </w:rPr>
              <w:t>%</w:t>
            </w:r>
            <w:r>
              <w:rPr>
                <w:sz w:val="28"/>
                <w:szCs w:val="28"/>
              </w:rPr>
              <w:t xml:space="preserve"> </w:t>
            </w:r>
            <w:r w:rsidRPr="00C14931">
              <w:rPr>
                <w:b/>
                <w:color w:val="FF0000"/>
                <w:sz w:val="28"/>
                <w:szCs w:val="28"/>
              </w:rPr>
              <w:sym w:font="Wingdings" w:char="F0E9"/>
            </w:r>
          </w:p>
        </w:tc>
      </w:tr>
      <w:tr w:rsidR="00653CE6" w14:paraId="739166D4" w14:textId="77777777" w:rsidTr="00033193">
        <w:trPr>
          <w:trHeight w:val="397"/>
          <w:jc w:val="center"/>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29626389" w14:textId="2AAA739A" w:rsidR="00653CE6" w:rsidRPr="0098154A" w:rsidRDefault="00653CE6" w:rsidP="00033193">
            <w:pPr>
              <w:spacing w:after="0" w:line="240" w:lineRule="auto"/>
              <w:jc w:val="center"/>
              <w:rPr>
                <w:b/>
                <w:sz w:val="28"/>
                <w:szCs w:val="28"/>
              </w:rPr>
            </w:pPr>
            <w:r w:rsidRPr="0098154A">
              <w:rPr>
                <w:b/>
                <w:sz w:val="28"/>
                <w:szCs w:val="28"/>
              </w:rPr>
              <w:t>CHANGE BASE YEAR TO 201</w:t>
            </w:r>
            <w:r w:rsidR="00033193">
              <w:rPr>
                <w:b/>
                <w:sz w:val="28"/>
                <w:szCs w:val="28"/>
              </w:rPr>
              <w:t>8</w:t>
            </w:r>
            <w:r w:rsidRPr="0098154A">
              <w:rPr>
                <w:b/>
                <w:sz w:val="28"/>
                <w:szCs w:val="28"/>
              </w:rPr>
              <w:t>/1</w:t>
            </w:r>
            <w:r w:rsidR="00033193">
              <w:rPr>
                <w:b/>
                <w:sz w:val="28"/>
                <w:szCs w:val="28"/>
              </w:rPr>
              <w:t>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E9152C4" w14:textId="178067DC" w:rsidR="00653CE6" w:rsidRPr="00FB1B66" w:rsidRDefault="00FB1B66" w:rsidP="009A329B">
            <w:pPr>
              <w:spacing w:after="0" w:line="240" w:lineRule="auto"/>
              <w:jc w:val="center"/>
              <w:rPr>
                <w:b/>
                <w:sz w:val="28"/>
                <w:szCs w:val="28"/>
              </w:rPr>
            </w:pPr>
            <w:r w:rsidRPr="00FB1B66">
              <w:rPr>
                <w:b/>
                <w:sz w:val="28"/>
                <w:szCs w:val="28"/>
              </w:rPr>
              <w:t>131.33</w:t>
            </w:r>
            <w:r w:rsidR="00033193" w:rsidRPr="00FB1B66">
              <w:rPr>
                <w:b/>
                <w:sz w:val="28"/>
                <w:szCs w:val="28"/>
              </w:rPr>
              <w:t>%</w:t>
            </w:r>
            <w:r>
              <w:rPr>
                <w:b/>
                <w:sz w:val="28"/>
                <w:szCs w:val="28"/>
              </w:rPr>
              <w:t xml:space="preserve"> </w:t>
            </w:r>
            <w:r w:rsidRPr="00C14931">
              <w:rPr>
                <w:b/>
                <w:color w:val="FF0000"/>
                <w:sz w:val="28"/>
                <w:szCs w:val="28"/>
              </w:rPr>
              <w:sym w:font="Wingdings" w:char="F0E9"/>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820F46E" w14:textId="3B075F8D" w:rsidR="00653CE6" w:rsidRPr="00561760" w:rsidRDefault="00653CE6" w:rsidP="00033193">
            <w:pPr>
              <w:spacing w:after="0" w:line="240" w:lineRule="auto"/>
              <w:jc w:val="center"/>
              <w:rPr>
                <w:sz w:val="28"/>
                <w:szCs w:val="28"/>
              </w:rPr>
            </w:pPr>
            <w:r>
              <w:rPr>
                <w:sz w:val="28"/>
                <w:szCs w:val="28"/>
              </w:rPr>
              <w:t>CHANGE BASE YEAR TO 201</w:t>
            </w:r>
            <w:r w:rsidR="00033193">
              <w:rPr>
                <w:sz w:val="28"/>
                <w:szCs w:val="28"/>
              </w:rPr>
              <w:t>8</w:t>
            </w:r>
            <w:r>
              <w:rPr>
                <w:sz w:val="28"/>
                <w:szCs w:val="28"/>
              </w:rPr>
              <w:t>/1</w:t>
            </w:r>
            <w:r w:rsidR="00033193">
              <w:rPr>
                <w:sz w:val="28"/>
                <w:szCs w:val="28"/>
              </w:rPr>
              <w:t>9</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534E07E3" w14:textId="3862D937" w:rsidR="00653CE6" w:rsidRPr="00FB1B66" w:rsidRDefault="00FB1B66" w:rsidP="009A329B">
            <w:pPr>
              <w:spacing w:after="0" w:line="240" w:lineRule="auto"/>
              <w:jc w:val="center"/>
              <w:rPr>
                <w:sz w:val="28"/>
                <w:szCs w:val="28"/>
              </w:rPr>
            </w:pPr>
            <w:r>
              <w:rPr>
                <w:sz w:val="28"/>
                <w:szCs w:val="28"/>
              </w:rPr>
              <w:t>49</w:t>
            </w:r>
            <w:r w:rsidR="00033193" w:rsidRPr="00FB1B66">
              <w:rPr>
                <w:sz w:val="28"/>
                <w:szCs w:val="28"/>
              </w:rPr>
              <w:t>%</w:t>
            </w:r>
            <w:r>
              <w:rPr>
                <w:sz w:val="28"/>
                <w:szCs w:val="28"/>
              </w:rPr>
              <w:t xml:space="preserve"> </w:t>
            </w:r>
            <w:r w:rsidRPr="00C14931">
              <w:rPr>
                <w:b/>
                <w:color w:val="FF0000"/>
                <w:sz w:val="28"/>
                <w:szCs w:val="28"/>
              </w:rPr>
              <w:sym w:font="Wingdings" w:char="F0E9"/>
            </w:r>
          </w:p>
        </w:tc>
      </w:tr>
      <w:tr w:rsidR="00653CE6" w14:paraId="38BFC34E" w14:textId="77777777" w:rsidTr="00B318EA">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22CB47" w14:textId="1C037979" w:rsidR="00653CE6" w:rsidRPr="0098154A" w:rsidRDefault="00653CE6" w:rsidP="00033193">
            <w:pPr>
              <w:spacing w:after="0" w:line="240" w:lineRule="auto"/>
              <w:jc w:val="center"/>
              <w:rPr>
                <w:b/>
                <w:sz w:val="28"/>
                <w:szCs w:val="28"/>
              </w:rPr>
            </w:pPr>
            <w:r w:rsidRPr="0098154A">
              <w:rPr>
                <w:b/>
                <w:sz w:val="28"/>
                <w:szCs w:val="28"/>
              </w:rPr>
              <w:t>RANK POSITION:</w:t>
            </w:r>
            <w:r w:rsidR="00513443">
              <w:rPr>
                <w:b/>
                <w:sz w:val="28"/>
                <w:szCs w:val="28"/>
              </w:rPr>
              <w:t xml:space="preserve">  </w:t>
            </w:r>
            <w:r w:rsidR="00FB3E89">
              <w:rPr>
                <w:b/>
                <w:sz w:val="28"/>
                <w:szCs w:val="28"/>
              </w:rPr>
              <w:t>18</w:t>
            </w:r>
            <w:r w:rsidR="00513443">
              <w:rPr>
                <w:b/>
                <w:sz w:val="28"/>
                <w:szCs w:val="28"/>
              </w:rPr>
              <w:t xml:space="preserve">  </w:t>
            </w:r>
            <w:r w:rsidRPr="0098154A">
              <w:rPr>
                <w:b/>
                <w:sz w:val="28"/>
                <w:szCs w:val="28"/>
              </w:rPr>
              <w:t>RANK MOVEMENT:</w:t>
            </w:r>
            <w:r w:rsidR="00694DE8">
              <w:rPr>
                <w:b/>
                <w:sz w:val="28"/>
                <w:szCs w:val="28"/>
              </w:rPr>
              <w:t xml:space="preserve"> </w:t>
            </w:r>
            <w:r w:rsidR="00FB3E89">
              <w:rPr>
                <w:b/>
                <w:sz w:val="28"/>
                <w:szCs w:val="28"/>
              </w:rPr>
              <w:t>-3</w:t>
            </w:r>
            <w:r w:rsidR="00FB1B66">
              <w:rPr>
                <w:b/>
                <w:sz w:val="28"/>
                <w:szCs w:val="28"/>
              </w:rPr>
              <w:t xml:space="preserve"> </w:t>
            </w:r>
            <w:r w:rsidR="00FB1B66" w:rsidRPr="00C14931">
              <w:rPr>
                <w:b/>
                <w:color w:val="FF0000"/>
                <w:sz w:val="28"/>
                <w:szCs w:val="28"/>
              </w:rPr>
              <w:sym w:font="Wingdings" w:char="F0EA"/>
            </w:r>
          </w:p>
        </w:tc>
        <w:tc>
          <w:tcPr>
            <w:tcW w:w="780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4DDD2ACC" w14:textId="77777777" w:rsidR="00653CE6" w:rsidRPr="00561760" w:rsidRDefault="00653CE6" w:rsidP="009A329B">
            <w:pPr>
              <w:spacing w:after="0" w:line="240" w:lineRule="auto"/>
              <w:rPr>
                <w:sz w:val="28"/>
                <w:szCs w:val="28"/>
              </w:rPr>
            </w:pPr>
          </w:p>
        </w:tc>
      </w:tr>
      <w:tr w:rsidR="00DF5FDA" w14:paraId="210FC323" w14:textId="77777777" w:rsidTr="00B318EA">
        <w:trPr>
          <w:trHeight w:val="397"/>
          <w:jc w:val="center"/>
        </w:trPr>
        <w:tc>
          <w:tcPr>
            <w:tcW w:w="7508"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2FB45018" w14:textId="35D6E403" w:rsidR="00DF5FDA" w:rsidRPr="0098154A" w:rsidRDefault="00815DA6" w:rsidP="00033193">
            <w:pPr>
              <w:spacing w:after="0" w:line="240" w:lineRule="auto"/>
              <w:jc w:val="center"/>
              <w:rPr>
                <w:b/>
                <w:sz w:val="28"/>
                <w:szCs w:val="28"/>
              </w:rPr>
            </w:pPr>
            <w:r>
              <w:rPr>
                <w:b/>
                <w:sz w:val="28"/>
                <w:szCs w:val="28"/>
              </w:rPr>
              <w:t>FAMILY GROUP RANKING 201</w:t>
            </w:r>
            <w:r w:rsidR="00033193">
              <w:rPr>
                <w:b/>
                <w:sz w:val="28"/>
                <w:szCs w:val="28"/>
              </w:rPr>
              <w:t>8</w:t>
            </w:r>
            <w:r>
              <w:rPr>
                <w:b/>
                <w:sz w:val="28"/>
                <w:szCs w:val="28"/>
              </w:rPr>
              <w:t>/1</w:t>
            </w:r>
            <w:r w:rsidR="00033193">
              <w:rPr>
                <w:b/>
                <w:sz w:val="28"/>
                <w:szCs w:val="28"/>
              </w:rPr>
              <w:t>9</w:t>
            </w:r>
            <w:r>
              <w:rPr>
                <w:b/>
                <w:sz w:val="28"/>
                <w:szCs w:val="28"/>
              </w:rPr>
              <w:t xml:space="preserve"> </w:t>
            </w:r>
          </w:p>
        </w:tc>
        <w:tc>
          <w:tcPr>
            <w:tcW w:w="7801" w:type="dxa"/>
            <w:gridSpan w:val="2"/>
            <w:tcBorders>
              <w:left w:val="single" w:sz="4" w:space="0" w:color="auto"/>
              <w:right w:val="single" w:sz="4" w:space="0" w:color="auto"/>
            </w:tcBorders>
            <w:shd w:val="clear" w:color="auto" w:fill="D9D9D9" w:themeFill="background1" w:themeFillShade="D9"/>
            <w:vAlign w:val="center"/>
          </w:tcPr>
          <w:p w14:paraId="33716A82" w14:textId="77777777" w:rsidR="00DF5FDA" w:rsidRPr="00561760" w:rsidRDefault="00DF5FDA" w:rsidP="009A329B">
            <w:pPr>
              <w:spacing w:after="0" w:line="240" w:lineRule="auto"/>
              <w:rPr>
                <w:sz w:val="28"/>
                <w:szCs w:val="28"/>
              </w:rPr>
            </w:pPr>
          </w:p>
        </w:tc>
      </w:tr>
      <w:tr w:rsidR="00815DA6" w14:paraId="7D396111" w14:textId="77777777" w:rsidTr="00B318EA">
        <w:trPr>
          <w:trHeight w:val="397"/>
          <w:jc w:val="center"/>
        </w:trPr>
        <w:tc>
          <w:tcPr>
            <w:tcW w:w="7508" w:type="dxa"/>
            <w:gridSpan w:val="2"/>
            <w:tcBorders>
              <w:left w:val="single" w:sz="4" w:space="0" w:color="auto"/>
              <w:bottom w:val="single" w:sz="4" w:space="0" w:color="auto"/>
              <w:right w:val="single" w:sz="4" w:space="0" w:color="auto"/>
            </w:tcBorders>
            <w:shd w:val="clear" w:color="auto" w:fill="D9E2F3" w:themeFill="accent5" w:themeFillTint="33"/>
            <w:vAlign w:val="center"/>
          </w:tcPr>
          <w:p w14:paraId="74BDDB3F" w14:textId="62B26B51" w:rsidR="00815DA6" w:rsidRDefault="00815DA6" w:rsidP="00FB3E89">
            <w:pPr>
              <w:spacing w:after="0" w:line="240" w:lineRule="auto"/>
              <w:jc w:val="center"/>
              <w:rPr>
                <w:b/>
                <w:sz w:val="28"/>
                <w:szCs w:val="28"/>
              </w:rPr>
            </w:pPr>
            <w:r>
              <w:rPr>
                <w:b/>
                <w:sz w:val="28"/>
                <w:szCs w:val="28"/>
              </w:rPr>
              <w:t>RANK POSITION</w:t>
            </w:r>
            <w:r w:rsidR="00265341">
              <w:rPr>
                <w:b/>
                <w:sz w:val="28"/>
                <w:szCs w:val="28"/>
              </w:rPr>
              <w:t>:</w:t>
            </w:r>
            <w:r w:rsidR="00FD1CF1">
              <w:rPr>
                <w:b/>
                <w:sz w:val="28"/>
                <w:szCs w:val="28"/>
                <w:vertAlign w:val="superscript"/>
              </w:rPr>
              <w:t xml:space="preserve"> </w:t>
            </w:r>
            <w:r w:rsidR="00FD1CF1">
              <w:rPr>
                <w:b/>
                <w:sz w:val="28"/>
                <w:szCs w:val="28"/>
              </w:rPr>
              <w:t xml:space="preserve"> </w:t>
            </w:r>
            <w:r w:rsidR="00FB3E89">
              <w:rPr>
                <w:b/>
                <w:sz w:val="28"/>
                <w:szCs w:val="28"/>
              </w:rPr>
              <w:t>6</w:t>
            </w:r>
            <w:r w:rsidR="00FD1CF1">
              <w:rPr>
                <w:b/>
                <w:sz w:val="28"/>
                <w:szCs w:val="28"/>
              </w:rPr>
              <w:t xml:space="preserve"> </w:t>
            </w:r>
            <w:r>
              <w:rPr>
                <w:b/>
                <w:sz w:val="28"/>
                <w:szCs w:val="28"/>
              </w:rPr>
              <w:t>RANK MOVEMENT</w:t>
            </w:r>
            <w:r w:rsidR="00265341">
              <w:rPr>
                <w:b/>
                <w:sz w:val="28"/>
                <w:szCs w:val="28"/>
              </w:rPr>
              <w:t>:</w:t>
            </w:r>
            <w:r>
              <w:rPr>
                <w:b/>
                <w:sz w:val="28"/>
                <w:szCs w:val="28"/>
              </w:rPr>
              <w:t xml:space="preserve"> </w:t>
            </w:r>
            <w:r w:rsidR="00FB3E89">
              <w:rPr>
                <w:b/>
                <w:sz w:val="28"/>
                <w:szCs w:val="28"/>
              </w:rPr>
              <w:t>-2</w:t>
            </w:r>
            <w:r w:rsidR="00FB1B66">
              <w:rPr>
                <w:b/>
                <w:sz w:val="28"/>
                <w:szCs w:val="28"/>
              </w:rPr>
              <w:t xml:space="preserve"> </w:t>
            </w:r>
            <w:r w:rsidR="00FB1B66" w:rsidRPr="00C14931">
              <w:rPr>
                <w:b/>
                <w:color w:val="FF0000"/>
                <w:sz w:val="28"/>
                <w:szCs w:val="28"/>
              </w:rPr>
              <w:sym w:font="Wingdings" w:char="F0EA"/>
            </w:r>
          </w:p>
        </w:tc>
        <w:tc>
          <w:tcPr>
            <w:tcW w:w="7801"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3290EF4E" w14:textId="77777777" w:rsidR="00815DA6" w:rsidRPr="00561760" w:rsidRDefault="00815DA6" w:rsidP="009A329B">
            <w:pPr>
              <w:spacing w:after="0" w:line="240" w:lineRule="auto"/>
              <w:rPr>
                <w:sz w:val="28"/>
                <w:szCs w:val="28"/>
              </w:rPr>
            </w:pPr>
          </w:p>
        </w:tc>
      </w:tr>
      <w:tr w:rsidR="00653CE6" w14:paraId="0F265933" w14:textId="77777777" w:rsidTr="00033193">
        <w:trPr>
          <w:jc w:val="center"/>
        </w:trPr>
        <w:tc>
          <w:tcPr>
            <w:tcW w:w="15309" w:type="dxa"/>
            <w:gridSpan w:val="4"/>
            <w:tcBorders>
              <w:top w:val="single" w:sz="4" w:space="0" w:color="auto"/>
              <w:left w:val="single" w:sz="4" w:space="0" w:color="auto"/>
              <w:bottom w:val="single" w:sz="4" w:space="0" w:color="auto"/>
              <w:right w:val="single" w:sz="4" w:space="0" w:color="auto"/>
            </w:tcBorders>
            <w:shd w:val="clear" w:color="auto" w:fill="auto"/>
          </w:tcPr>
          <w:p w14:paraId="1D4DD24C" w14:textId="6B172EE4" w:rsidR="00815DA6" w:rsidRPr="00033193" w:rsidRDefault="00815DA6" w:rsidP="000F4CDF">
            <w:pPr>
              <w:spacing w:after="120" w:line="240" w:lineRule="auto"/>
              <w:rPr>
                <w:sz w:val="6"/>
                <w:szCs w:val="6"/>
              </w:rPr>
            </w:pPr>
          </w:p>
          <w:p w14:paraId="4D8970AB" w14:textId="77777777" w:rsidR="00653CE6" w:rsidRPr="00033193" w:rsidRDefault="00653CE6" w:rsidP="000F4CDF">
            <w:pPr>
              <w:spacing w:after="120" w:line="240" w:lineRule="auto"/>
              <w:rPr>
                <w:b/>
                <w:sz w:val="28"/>
                <w:szCs w:val="28"/>
              </w:rPr>
            </w:pPr>
            <w:r w:rsidRPr="00033193">
              <w:rPr>
                <w:b/>
                <w:sz w:val="28"/>
                <w:szCs w:val="28"/>
              </w:rPr>
              <w:t>TELLING OUR STORY:</w:t>
            </w:r>
          </w:p>
          <w:p w14:paraId="43C2F532" w14:textId="294561EC" w:rsidR="00695EBE" w:rsidRPr="001453C3" w:rsidRDefault="00695EBE" w:rsidP="000F4CDF">
            <w:pPr>
              <w:spacing w:after="120" w:line="240" w:lineRule="auto"/>
              <w:rPr>
                <w:rFonts w:cstheme="minorHAnsi"/>
                <w:sz w:val="24"/>
                <w:szCs w:val="24"/>
              </w:rPr>
            </w:pPr>
            <w:r w:rsidRPr="001453C3">
              <w:rPr>
                <w:rFonts w:cstheme="minorHAnsi"/>
                <w:sz w:val="24"/>
                <w:szCs w:val="24"/>
              </w:rPr>
              <w:t>Performance based on this indicator has dropped for the second consecutive year.</w:t>
            </w:r>
          </w:p>
          <w:p w14:paraId="1F7764A6" w14:textId="3479B284" w:rsidR="00695EBE" w:rsidRDefault="00695EBE" w:rsidP="000F4CDF">
            <w:pPr>
              <w:spacing w:after="120" w:line="240" w:lineRule="auto"/>
              <w:rPr>
                <w:rFonts w:cstheme="minorHAnsi"/>
                <w:sz w:val="24"/>
                <w:szCs w:val="24"/>
              </w:rPr>
            </w:pPr>
            <w:r w:rsidRPr="001453C3">
              <w:rPr>
                <w:rFonts w:cstheme="minorHAnsi"/>
                <w:sz w:val="24"/>
                <w:szCs w:val="24"/>
              </w:rPr>
              <w:t>Throughout the lifetime of the LGBF, the gross cost of 'children looked after' in a community setting per child per week in Argyll and Bute has consistently been below the Scottish average.</w:t>
            </w:r>
          </w:p>
          <w:p w14:paraId="487906BE" w14:textId="77777777" w:rsidR="003C7E69" w:rsidRPr="001453C3" w:rsidRDefault="003C7E69" w:rsidP="000F4CDF">
            <w:pPr>
              <w:spacing w:after="120" w:line="240" w:lineRule="auto"/>
              <w:rPr>
                <w:rFonts w:cstheme="minorHAnsi"/>
                <w:sz w:val="24"/>
                <w:szCs w:val="24"/>
              </w:rPr>
            </w:pPr>
            <w:r>
              <w:rPr>
                <w:rFonts w:cstheme="minorHAnsi"/>
                <w:sz w:val="24"/>
                <w:szCs w:val="24"/>
              </w:rPr>
              <w:t xml:space="preserve">Recent changes reflect our enhanced supports to children in community placement and in particular Kinship arrangements </w:t>
            </w:r>
          </w:p>
          <w:p w14:paraId="517EF914" w14:textId="50F8A966" w:rsidR="000A1561" w:rsidRPr="00033193" w:rsidRDefault="000A1561" w:rsidP="000F4CDF">
            <w:pPr>
              <w:spacing w:after="120" w:line="240" w:lineRule="auto"/>
              <w:rPr>
                <w:rFonts w:ascii="Arial" w:hAnsi="Arial" w:cs="Arial"/>
                <w:sz w:val="6"/>
                <w:szCs w:val="6"/>
              </w:rPr>
            </w:pPr>
          </w:p>
        </w:tc>
      </w:tr>
      <w:tr w:rsidR="00653CE6" w14:paraId="51A6C627" w14:textId="77777777" w:rsidTr="00033193">
        <w:trPr>
          <w:jc w:val="center"/>
        </w:trPr>
        <w:tc>
          <w:tcPr>
            <w:tcW w:w="15309" w:type="dxa"/>
            <w:gridSpan w:val="4"/>
            <w:tcBorders>
              <w:top w:val="single" w:sz="4" w:space="0" w:color="auto"/>
              <w:left w:val="single" w:sz="4" w:space="0" w:color="auto"/>
              <w:bottom w:val="single" w:sz="4" w:space="0" w:color="auto"/>
              <w:right w:val="single" w:sz="4" w:space="0" w:color="auto"/>
            </w:tcBorders>
            <w:shd w:val="clear" w:color="auto" w:fill="auto"/>
          </w:tcPr>
          <w:p w14:paraId="4D38A057" w14:textId="77777777" w:rsidR="00815DA6" w:rsidRPr="00815DA6" w:rsidRDefault="00815DA6" w:rsidP="009A329B">
            <w:pPr>
              <w:spacing w:after="0" w:line="240" w:lineRule="auto"/>
              <w:rPr>
                <w:sz w:val="6"/>
                <w:szCs w:val="6"/>
              </w:rPr>
            </w:pPr>
          </w:p>
          <w:p w14:paraId="106C06E5" w14:textId="77777777" w:rsidR="00653CE6" w:rsidRDefault="00232953" w:rsidP="000F4CDF">
            <w:pPr>
              <w:spacing w:after="120" w:line="240" w:lineRule="auto"/>
              <w:rPr>
                <w:b/>
                <w:sz w:val="28"/>
                <w:szCs w:val="28"/>
              </w:rPr>
            </w:pPr>
            <w:r>
              <w:rPr>
                <w:b/>
                <w:sz w:val="28"/>
                <w:szCs w:val="28"/>
              </w:rPr>
              <w:t>LOOKING FORWARD - EXPECTED IMPACT ON INDICATOR</w:t>
            </w:r>
            <w:r w:rsidR="00653CE6">
              <w:rPr>
                <w:b/>
                <w:sz w:val="28"/>
                <w:szCs w:val="28"/>
              </w:rPr>
              <w:t>:</w:t>
            </w:r>
          </w:p>
          <w:p w14:paraId="15E3725B" w14:textId="56DEA3CD" w:rsidR="000A1561" w:rsidRPr="001D6373" w:rsidRDefault="003C7E69" w:rsidP="000F4CDF">
            <w:pPr>
              <w:spacing w:after="120" w:line="240" w:lineRule="auto"/>
              <w:rPr>
                <w:rFonts w:ascii="Arial" w:hAnsi="Arial" w:cs="Arial"/>
              </w:rPr>
            </w:pPr>
            <w:r w:rsidRPr="00010AD3">
              <w:rPr>
                <w:sz w:val="24"/>
                <w:szCs w:val="24"/>
              </w:rPr>
              <w:t>The fostering service continues to focus on increasing the availability of community options and we anticipate a continued expansion in formal and informal kinship care arrangements supported by the service and we are not anticipating any significant shift in performance next year.</w:t>
            </w:r>
            <w:r>
              <w:rPr>
                <w:b/>
                <w:sz w:val="28"/>
                <w:szCs w:val="28"/>
              </w:rPr>
              <w:t xml:space="preserve">  </w:t>
            </w:r>
          </w:p>
        </w:tc>
      </w:tr>
    </w:tbl>
    <w:p w14:paraId="5BA9B2AE" w14:textId="77777777" w:rsidR="00033193" w:rsidRDefault="00033193">
      <w:r>
        <w:br w:type="page"/>
      </w:r>
    </w:p>
    <w:tbl>
      <w:tblPr>
        <w:tblW w:w="15451" w:type="dxa"/>
        <w:jc w:val="center"/>
        <w:tblLook w:val="04A0" w:firstRow="1" w:lastRow="0" w:firstColumn="1" w:lastColumn="0" w:noHBand="0" w:noVBand="1"/>
      </w:tblPr>
      <w:tblGrid>
        <w:gridCol w:w="5524"/>
        <w:gridCol w:w="2126"/>
        <w:gridCol w:w="5812"/>
        <w:gridCol w:w="1989"/>
      </w:tblGrid>
      <w:tr w:rsidR="006452B6" w:rsidRPr="005D65E6" w14:paraId="7FADB637" w14:textId="77777777" w:rsidTr="001D6373">
        <w:trPr>
          <w:trHeight w:val="794"/>
          <w:jc w:val="center"/>
        </w:trPr>
        <w:tc>
          <w:tcPr>
            <w:tcW w:w="154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920857C" w14:textId="70AA9882" w:rsidR="006452B6" w:rsidRPr="005D65E6" w:rsidRDefault="006452B6" w:rsidP="005D65E6">
            <w:pPr>
              <w:rPr>
                <w:b/>
                <w:sz w:val="32"/>
              </w:rPr>
            </w:pPr>
            <w:r w:rsidRPr="005D65E6">
              <w:rPr>
                <w:b/>
                <w:sz w:val="32"/>
              </w:rPr>
              <w:lastRenderedPageBreak/>
              <w:t>SERVICE: CHILDREN AND FAMILIES</w:t>
            </w:r>
          </w:p>
        </w:tc>
      </w:tr>
      <w:tr w:rsidR="00171D32" w14:paraId="63CC7148" w14:textId="77777777" w:rsidTr="001D6373">
        <w:trPr>
          <w:trHeight w:val="567"/>
          <w:jc w:val="center"/>
        </w:trPr>
        <w:tc>
          <w:tcPr>
            <w:tcW w:w="154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3469D2" w14:textId="2DCA74E7" w:rsidR="00171D32" w:rsidRPr="0014490C" w:rsidRDefault="00171D32" w:rsidP="009A329B">
            <w:pPr>
              <w:pStyle w:val="Heading1"/>
              <w:spacing w:before="0" w:line="240" w:lineRule="auto"/>
              <w:rPr>
                <w:b/>
              </w:rPr>
            </w:pPr>
            <w:bookmarkStart w:id="13" w:name="_Toc56757691"/>
            <w:r w:rsidRPr="0014490C">
              <w:rPr>
                <w:b/>
                <w:color w:val="auto"/>
              </w:rPr>
              <w:t xml:space="preserve">INDICATOR REF: CHN9 - Balance of </w:t>
            </w:r>
            <w:r w:rsidR="00882799">
              <w:rPr>
                <w:b/>
                <w:color w:val="auto"/>
              </w:rPr>
              <w:t>Care for looked after children:</w:t>
            </w:r>
            <w:r w:rsidR="00E07175">
              <w:rPr>
                <w:b/>
                <w:color w:val="auto"/>
              </w:rPr>
              <w:t xml:space="preserve"> </w:t>
            </w:r>
            <w:r w:rsidRPr="0014490C">
              <w:rPr>
                <w:b/>
                <w:color w:val="auto"/>
              </w:rPr>
              <w:t>% of children being looked after in the community</w:t>
            </w:r>
            <w:bookmarkEnd w:id="13"/>
          </w:p>
        </w:tc>
      </w:tr>
      <w:tr w:rsidR="003E452D" w14:paraId="127C2F51" w14:textId="77777777" w:rsidTr="001D6373">
        <w:trPr>
          <w:trHeight w:val="454"/>
          <w:jc w:val="center"/>
        </w:trPr>
        <w:tc>
          <w:tcPr>
            <w:tcW w:w="154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22C8C0" w14:textId="7AD13F81" w:rsidR="003E452D" w:rsidRDefault="003E452D" w:rsidP="00033193">
            <w:pPr>
              <w:spacing w:after="0" w:line="240" w:lineRule="auto"/>
              <w:jc w:val="center"/>
              <w:rPr>
                <w:b/>
                <w:sz w:val="28"/>
                <w:szCs w:val="28"/>
              </w:rPr>
            </w:pPr>
            <w:r w:rsidRPr="00C577BD">
              <w:rPr>
                <w:b/>
                <w:color w:val="0070C0"/>
                <w:sz w:val="28"/>
                <w:szCs w:val="28"/>
              </w:rPr>
              <w:t>Performance Range:</w:t>
            </w:r>
            <w:r w:rsidR="005E2139">
              <w:rPr>
                <w:b/>
                <w:color w:val="0070C0"/>
                <w:sz w:val="28"/>
                <w:szCs w:val="28"/>
              </w:rPr>
              <w:t xml:space="preserve"> </w:t>
            </w:r>
            <w:r w:rsidR="00FB3E89">
              <w:rPr>
                <w:b/>
                <w:color w:val="0070C0"/>
                <w:sz w:val="28"/>
                <w:szCs w:val="28"/>
              </w:rPr>
              <w:t>79.05</w:t>
            </w:r>
            <w:r w:rsidR="0014490C">
              <w:rPr>
                <w:b/>
                <w:color w:val="0070C0"/>
                <w:sz w:val="28"/>
                <w:szCs w:val="28"/>
              </w:rPr>
              <w:t xml:space="preserve">% to </w:t>
            </w:r>
            <w:r w:rsidR="00FB3E89">
              <w:rPr>
                <w:b/>
                <w:color w:val="0070C0"/>
                <w:sz w:val="28"/>
                <w:szCs w:val="28"/>
              </w:rPr>
              <w:t>98.04</w:t>
            </w:r>
            <w:r w:rsidR="0014490C">
              <w:rPr>
                <w:b/>
                <w:color w:val="0070C0"/>
                <w:sz w:val="28"/>
                <w:szCs w:val="28"/>
              </w:rPr>
              <w:t xml:space="preserve">% </w:t>
            </w:r>
            <w:r w:rsidR="003D55B4">
              <w:rPr>
                <w:b/>
                <w:color w:val="0070C0"/>
                <w:sz w:val="28"/>
                <w:szCs w:val="28"/>
              </w:rPr>
              <w:t xml:space="preserve"> </w:t>
            </w:r>
            <w:r w:rsidR="005E2139" w:rsidRPr="005E2139">
              <w:rPr>
                <w:b/>
                <w:color w:val="0070C0"/>
                <w:sz w:val="28"/>
                <w:szCs w:val="28"/>
              </w:rPr>
              <w:t>(Highest is best)</w:t>
            </w:r>
          </w:p>
        </w:tc>
      </w:tr>
      <w:tr w:rsidR="00171D32" w14:paraId="336817DB" w14:textId="77777777" w:rsidTr="001D6373">
        <w:trPr>
          <w:trHeight w:val="397"/>
          <w:jc w:val="center"/>
        </w:trPr>
        <w:tc>
          <w:tcPr>
            <w:tcW w:w="7650"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12FE76E" w14:textId="77777777" w:rsidR="00171D32" w:rsidRDefault="00171D32" w:rsidP="009A329B">
            <w:pPr>
              <w:spacing w:after="0" w:line="240" w:lineRule="auto"/>
              <w:jc w:val="center"/>
              <w:rPr>
                <w:b/>
                <w:sz w:val="28"/>
                <w:szCs w:val="28"/>
              </w:rPr>
            </w:pPr>
            <w:r>
              <w:rPr>
                <w:b/>
                <w:sz w:val="28"/>
                <w:szCs w:val="28"/>
              </w:rPr>
              <w:t>ARGYLL AND BUTE</w:t>
            </w:r>
          </w:p>
        </w:tc>
        <w:tc>
          <w:tcPr>
            <w:tcW w:w="780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5CE38DB" w14:textId="77777777" w:rsidR="00171D32" w:rsidRDefault="00171D32" w:rsidP="009A329B">
            <w:pPr>
              <w:spacing w:after="0" w:line="240" w:lineRule="auto"/>
              <w:jc w:val="center"/>
              <w:rPr>
                <w:b/>
                <w:sz w:val="28"/>
                <w:szCs w:val="28"/>
              </w:rPr>
            </w:pPr>
            <w:r>
              <w:rPr>
                <w:b/>
                <w:sz w:val="28"/>
                <w:szCs w:val="28"/>
              </w:rPr>
              <w:t>SCOTLAND</w:t>
            </w:r>
          </w:p>
        </w:tc>
      </w:tr>
      <w:tr w:rsidR="00171D32" w14:paraId="335083F3" w14:textId="77777777" w:rsidTr="001D6373">
        <w:trPr>
          <w:trHeight w:val="397"/>
          <w:jc w:val="center"/>
        </w:trPr>
        <w:tc>
          <w:tcPr>
            <w:tcW w:w="7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67EE6C" w14:textId="487E31B2" w:rsidR="00171D32" w:rsidRPr="0098154A" w:rsidRDefault="00FB3E89" w:rsidP="009A329B">
            <w:pPr>
              <w:spacing w:after="0" w:line="240" w:lineRule="auto"/>
              <w:jc w:val="center"/>
              <w:rPr>
                <w:b/>
                <w:sz w:val="28"/>
                <w:szCs w:val="28"/>
              </w:rPr>
            </w:pPr>
            <w:r>
              <w:rPr>
                <w:b/>
                <w:sz w:val="28"/>
                <w:szCs w:val="28"/>
              </w:rPr>
              <w:t>83.33</w:t>
            </w:r>
            <w:r w:rsidR="00E32FBA">
              <w:rPr>
                <w:b/>
                <w:sz w:val="28"/>
                <w:szCs w:val="28"/>
              </w:rPr>
              <w:t>%</w:t>
            </w:r>
          </w:p>
        </w:tc>
        <w:tc>
          <w:tcPr>
            <w:tcW w:w="7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2721D" w14:textId="1B40B04F" w:rsidR="00171D32" w:rsidRDefault="00FB3E89" w:rsidP="009A329B">
            <w:pPr>
              <w:spacing w:after="0" w:line="240" w:lineRule="auto"/>
              <w:jc w:val="center"/>
              <w:rPr>
                <w:b/>
                <w:sz w:val="28"/>
                <w:szCs w:val="28"/>
              </w:rPr>
            </w:pPr>
            <w:r>
              <w:rPr>
                <w:b/>
                <w:sz w:val="28"/>
                <w:szCs w:val="28"/>
              </w:rPr>
              <w:t>89.92</w:t>
            </w:r>
            <w:r w:rsidR="00E32FBA">
              <w:rPr>
                <w:b/>
                <w:sz w:val="28"/>
                <w:szCs w:val="28"/>
              </w:rPr>
              <w:t>%</w:t>
            </w:r>
          </w:p>
        </w:tc>
      </w:tr>
      <w:tr w:rsidR="00653CE6" w14:paraId="08DA0663" w14:textId="77777777" w:rsidTr="001D6373">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32E2CAB5" w14:textId="113CCDAA" w:rsidR="00653CE6" w:rsidRPr="0098154A" w:rsidRDefault="00653CE6" w:rsidP="00E32FBA">
            <w:pPr>
              <w:spacing w:after="0" w:line="240" w:lineRule="auto"/>
              <w:jc w:val="center"/>
              <w:rPr>
                <w:b/>
                <w:sz w:val="28"/>
                <w:szCs w:val="28"/>
              </w:rPr>
            </w:pPr>
            <w:r w:rsidRPr="0098154A">
              <w:rPr>
                <w:b/>
                <w:sz w:val="28"/>
                <w:szCs w:val="28"/>
              </w:rPr>
              <w:t>CHANGE 201</w:t>
            </w:r>
            <w:r w:rsidR="00E32FBA">
              <w:rPr>
                <w:b/>
                <w:sz w:val="28"/>
                <w:szCs w:val="28"/>
              </w:rPr>
              <w:t>7</w:t>
            </w:r>
            <w:r w:rsidRPr="0098154A">
              <w:rPr>
                <w:b/>
                <w:sz w:val="28"/>
                <w:szCs w:val="28"/>
              </w:rPr>
              <w:t>/1</w:t>
            </w:r>
            <w:r w:rsidR="00E32FBA">
              <w:rPr>
                <w:b/>
                <w:sz w:val="28"/>
                <w:szCs w:val="28"/>
              </w:rPr>
              <w:t>8</w:t>
            </w:r>
            <w:r w:rsidRPr="0098154A">
              <w:rPr>
                <w:b/>
                <w:sz w:val="28"/>
                <w:szCs w:val="28"/>
              </w:rPr>
              <w:t xml:space="preserve"> TO 201</w:t>
            </w:r>
            <w:r w:rsidR="00E32FBA">
              <w:rPr>
                <w:b/>
                <w:sz w:val="28"/>
                <w:szCs w:val="28"/>
              </w:rPr>
              <w:t>8</w:t>
            </w:r>
            <w:r w:rsidRPr="0098154A">
              <w:rPr>
                <w:b/>
                <w:sz w:val="28"/>
                <w:szCs w:val="28"/>
              </w:rPr>
              <w:t>/1</w:t>
            </w:r>
            <w:r w:rsidR="00E32FBA">
              <w:rPr>
                <w:b/>
                <w:sz w:val="28"/>
                <w:szCs w:val="28"/>
              </w:rPr>
              <w:t>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1875BE5" w14:textId="1470E003" w:rsidR="00653CE6" w:rsidRPr="0098154A" w:rsidRDefault="00FB1B66" w:rsidP="009A329B">
            <w:pPr>
              <w:spacing w:after="0" w:line="240" w:lineRule="auto"/>
              <w:jc w:val="center"/>
              <w:rPr>
                <w:b/>
                <w:sz w:val="28"/>
                <w:szCs w:val="28"/>
              </w:rPr>
            </w:pPr>
            <w:r>
              <w:rPr>
                <w:b/>
                <w:sz w:val="28"/>
                <w:szCs w:val="28"/>
              </w:rPr>
              <w:t xml:space="preserve">1.45 </w:t>
            </w:r>
            <w:r w:rsidRPr="00EC5E64">
              <w:rPr>
                <w:b/>
                <w:color w:val="00B050"/>
                <w:sz w:val="28"/>
                <w:szCs w:val="28"/>
              </w:rPr>
              <w:sym w:font="Wingdings" w:char="F0E9"/>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0DD2761" w14:textId="68219C21" w:rsidR="00653CE6" w:rsidRPr="00561760" w:rsidRDefault="00E32FBA" w:rsidP="00E32FBA">
            <w:pPr>
              <w:spacing w:after="0" w:line="240" w:lineRule="auto"/>
              <w:jc w:val="center"/>
              <w:rPr>
                <w:sz w:val="28"/>
                <w:szCs w:val="28"/>
              </w:rPr>
            </w:pPr>
            <w:r>
              <w:rPr>
                <w:sz w:val="28"/>
                <w:szCs w:val="28"/>
              </w:rPr>
              <w:t>CHANGE 2017</w:t>
            </w:r>
            <w:r w:rsidR="00653CE6">
              <w:rPr>
                <w:sz w:val="28"/>
                <w:szCs w:val="28"/>
              </w:rPr>
              <w:t>/1</w:t>
            </w:r>
            <w:r>
              <w:rPr>
                <w:sz w:val="28"/>
                <w:szCs w:val="28"/>
              </w:rPr>
              <w:t>8</w:t>
            </w:r>
            <w:r w:rsidR="00653CE6">
              <w:rPr>
                <w:sz w:val="28"/>
                <w:szCs w:val="28"/>
              </w:rPr>
              <w:t xml:space="preserve"> TO 201</w:t>
            </w:r>
            <w:r>
              <w:rPr>
                <w:sz w:val="28"/>
                <w:szCs w:val="28"/>
              </w:rPr>
              <w:t>8</w:t>
            </w:r>
            <w:r w:rsidR="00653CE6">
              <w:rPr>
                <w:sz w:val="28"/>
                <w:szCs w:val="28"/>
              </w:rPr>
              <w:t>/1</w:t>
            </w:r>
            <w:r>
              <w:rPr>
                <w:sz w:val="28"/>
                <w:szCs w:val="28"/>
              </w:rPr>
              <w:t>9</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3F3C56C8" w14:textId="64A43950" w:rsidR="00653CE6" w:rsidRPr="00FB1B66" w:rsidRDefault="00FB1B66" w:rsidP="009A329B">
            <w:pPr>
              <w:spacing w:after="0" w:line="240" w:lineRule="auto"/>
              <w:jc w:val="center"/>
              <w:rPr>
                <w:sz w:val="28"/>
                <w:szCs w:val="28"/>
              </w:rPr>
            </w:pPr>
            <w:r>
              <w:rPr>
                <w:sz w:val="28"/>
                <w:szCs w:val="28"/>
              </w:rPr>
              <w:t xml:space="preserve">0.22 </w:t>
            </w:r>
            <w:r w:rsidRPr="00EC5E64">
              <w:rPr>
                <w:b/>
                <w:color w:val="00B050"/>
                <w:sz w:val="28"/>
                <w:szCs w:val="28"/>
              </w:rPr>
              <w:sym w:font="Wingdings" w:char="F0E9"/>
            </w:r>
          </w:p>
        </w:tc>
      </w:tr>
      <w:tr w:rsidR="00653CE6" w14:paraId="70E5AD68" w14:textId="77777777" w:rsidTr="001D6373">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2F33A6BC" w14:textId="64AAB8D0" w:rsidR="00653CE6" w:rsidRPr="0098154A" w:rsidRDefault="00653CE6" w:rsidP="00E32FBA">
            <w:pPr>
              <w:spacing w:after="0" w:line="240" w:lineRule="auto"/>
              <w:jc w:val="center"/>
              <w:rPr>
                <w:b/>
                <w:sz w:val="28"/>
                <w:szCs w:val="28"/>
              </w:rPr>
            </w:pPr>
            <w:r w:rsidRPr="0098154A">
              <w:rPr>
                <w:b/>
                <w:sz w:val="28"/>
                <w:szCs w:val="28"/>
              </w:rPr>
              <w:t>CHANGE BASE YEAR TO 201</w:t>
            </w:r>
            <w:r w:rsidR="00E32FBA">
              <w:rPr>
                <w:b/>
                <w:sz w:val="28"/>
                <w:szCs w:val="28"/>
              </w:rPr>
              <w:t>8</w:t>
            </w:r>
            <w:r w:rsidRPr="0098154A">
              <w:rPr>
                <w:b/>
                <w:sz w:val="28"/>
                <w:szCs w:val="28"/>
              </w:rPr>
              <w:t>/1</w:t>
            </w:r>
            <w:r w:rsidR="00E32FBA">
              <w:rPr>
                <w:b/>
                <w:sz w:val="28"/>
                <w:szCs w:val="28"/>
              </w:rPr>
              <w:t>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B90388F" w14:textId="02079112" w:rsidR="00653CE6" w:rsidRPr="0098154A" w:rsidRDefault="00FB1B66" w:rsidP="009A329B">
            <w:pPr>
              <w:spacing w:after="0" w:line="240" w:lineRule="auto"/>
              <w:jc w:val="center"/>
              <w:rPr>
                <w:b/>
                <w:sz w:val="28"/>
                <w:szCs w:val="28"/>
              </w:rPr>
            </w:pPr>
            <w:r>
              <w:rPr>
                <w:b/>
                <w:sz w:val="28"/>
                <w:szCs w:val="28"/>
              </w:rPr>
              <w:t xml:space="preserve">-2.97 </w:t>
            </w:r>
            <w:r w:rsidRPr="00C14931">
              <w:rPr>
                <w:b/>
                <w:color w:val="FF0000"/>
                <w:sz w:val="28"/>
                <w:szCs w:val="28"/>
              </w:rPr>
              <w:sym w:font="Wingdings" w:char="F0EA"/>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6D6C3FB" w14:textId="6C6F9F3D" w:rsidR="00653CE6" w:rsidRPr="00561760" w:rsidRDefault="00653CE6" w:rsidP="00E32FBA">
            <w:pPr>
              <w:spacing w:after="0" w:line="240" w:lineRule="auto"/>
              <w:jc w:val="center"/>
              <w:rPr>
                <w:sz w:val="28"/>
                <w:szCs w:val="28"/>
              </w:rPr>
            </w:pPr>
            <w:r>
              <w:rPr>
                <w:sz w:val="28"/>
                <w:szCs w:val="28"/>
              </w:rPr>
              <w:t>CHANGE BASE YEAR TO 201</w:t>
            </w:r>
            <w:r w:rsidR="00E32FBA">
              <w:rPr>
                <w:sz w:val="28"/>
                <w:szCs w:val="28"/>
              </w:rPr>
              <w:t>8</w:t>
            </w:r>
            <w:r>
              <w:rPr>
                <w:sz w:val="28"/>
                <w:szCs w:val="28"/>
              </w:rPr>
              <w:t>/1</w:t>
            </w:r>
            <w:r w:rsidR="00E32FBA">
              <w:rPr>
                <w:sz w:val="28"/>
                <w:szCs w:val="28"/>
              </w:rPr>
              <w:t>9</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48293BBD" w14:textId="13408F3B" w:rsidR="00653CE6" w:rsidRPr="00FB1B66" w:rsidRDefault="00FB1B66" w:rsidP="009A329B">
            <w:pPr>
              <w:spacing w:after="0" w:line="240" w:lineRule="auto"/>
              <w:jc w:val="center"/>
              <w:rPr>
                <w:sz w:val="28"/>
                <w:szCs w:val="28"/>
              </w:rPr>
            </w:pPr>
            <w:r>
              <w:rPr>
                <w:sz w:val="28"/>
                <w:szCs w:val="28"/>
              </w:rPr>
              <w:t xml:space="preserve">-1.08 </w:t>
            </w:r>
            <w:r w:rsidRPr="00C14931">
              <w:rPr>
                <w:b/>
                <w:color w:val="FF0000"/>
                <w:sz w:val="28"/>
                <w:szCs w:val="28"/>
              </w:rPr>
              <w:sym w:font="Wingdings" w:char="F0EA"/>
            </w:r>
          </w:p>
        </w:tc>
      </w:tr>
      <w:tr w:rsidR="00653CE6" w14:paraId="2AE7056F" w14:textId="77777777" w:rsidTr="00B318EA">
        <w:trPr>
          <w:trHeight w:val="397"/>
          <w:jc w:val="center"/>
        </w:trPr>
        <w:tc>
          <w:tcPr>
            <w:tcW w:w="7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A5044" w14:textId="6DBCA60D" w:rsidR="00653CE6" w:rsidRPr="0098154A" w:rsidRDefault="00653CE6" w:rsidP="00E32FBA">
            <w:pPr>
              <w:spacing w:after="0" w:line="240" w:lineRule="auto"/>
              <w:jc w:val="center"/>
              <w:rPr>
                <w:b/>
                <w:sz w:val="28"/>
                <w:szCs w:val="28"/>
              </w:rPr>
            </w:pPr>
            <w:r w:rsidRPr="0098154A">
              <w:rPr>
                <w:b/>
                <w:sz w:val="28"/>
                <w:szCs w:val="28"/>
              </w:rPr>
              <w:t>RANK POSITION:</w:t>
            </w:r>
            <w:r w:rsidR="00513443">
              <w:rPr>
                <w:b/>
                <w:sz w:val="28"/>
                <w:szCs w:val="28"/>
              </w:rPr>
              <w:t xml:space="preserve">  </w:t>
            </w:r>
            <w:r w:rsidR="00FB3E89">
              <w:rPr>
                <w:b/>
                <w:sz w:val="28"/>
                <w:szCs w:val="28"/>
              </w:rPr>
              <w:t>25</w:t>
            </w:r>
            <w:r w:rsidR="00513443">
              <w:rPr>
                <w:b/>
                <w:sz w:val="28"/>
                <w:szCs w:val="28"/>
              </w:rPr>
              <w:t xml:space="preserve">  </w:t>
            </w:r>
            <w:r w:rsidRPr="0098154A">
              <w:rPr>
                <w:b/>
                <w:sz w:val="28"/>
                <w:szCs w:val="28"/>
              </w:rPr>
              <w:t>RANK MOVEMENT:</w:t>
            </w:r>
            <w:r w:rsidR="004454E7">
              <w:rPr>
                <w:b/>
                <w:sz w:val="28"/>
                <w:szCs w:val="28"/>
              </w:rPr>
              <w:t xml:space="preserve"> </w:t>
            </w:r>
            <w:r w:rsidR="00FB3E89">
              <w:rPr>
                <w:b/>
                <w:sz w:val="28"/>
                <w:szCs w:val="28"/>
              </w:rPr>
              <w:t>3</w:t>
            </w:r>
            <w:r w:rsidR="00FB1B66">
              <w:rPr>
                <w:b/>
                <w:sz w:val="28"/>
                <w:szCs w:val="28"/>
              </w:rPr>
              <w:t xml:space="preserve"> </w:t>
            </w:r>
            <w:r w:rsidR="00FB1B66" w:rsidRPr="00EC5E64">
              <w:rPr>
                <w:b/>
                <w:color w:val="00B050"/>
                <w:sz w:val="28"/>
                <w:szCs w:val="28"/>
              </w:rPr>
              <w:sym w:font="Wingdings" w:char="F0E9"/>
            </w:r>
          </w:p>
        </w:tc>
        <w:tc>
          <w:tcPr>
            <w:tcW w:w="780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76260050" w14:textId="77777777" w:rsidR="00653CE6" w:rsidRPr="00561760" w:rsidRDefault="00653CE6" w:rsidP="009A329B">
            <w:pPr>
              <w:spacing w:after="0" w:line="240" w:lineRule="auto"/>
              <w:rPr>
                <w:sz w:val="28"/>
                <w:szCs w:val="28"/>
              </w:rPr>
            </w:pPr>
          </w:p>
        </w:tc>
      </w:tr>
      <w:tr w:rsidR="00956108" w14:paraId="7917742D" w14:textId="77777777" w:rsidTr="00B318EA">
        <w:trPr>
          <w:trHeight w:val="397"/>
          <w:jc w:val="center"/>
        </w:trPr>
        <w:tc>
          <w:tcPr>
            <w:tcW w:w="7650"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7BC83D46" w14:textId="67D14138" w:rsidR="00956108" w:rsidRPr="0098154A" w:rsidRDefault="00815DA6" w:rsidP="00E32FBA">
            <w:pPr>
              <w:spacing w:after="0" w:line="240" w:lineRule="auto"/>
              <w:jc w:val="center"/>
              <w:rPr>
                <w:b/>
                <w:sz w:val="28"/>
                <w:szCs w:val="28"/>
              </w:rPr>
            </w:pPr>
            <w:r>
              <w:rPr>
                <w:b/>
                <w:sz w:val="28"/>
                <w:szCs w:val="28"/>
              </w:rPr>
              <w:t>FAMILY GROUP RANKING 201</w:t>
            </w:r>
            <w:r w:rsidR="00E32FBA">
              <w:rPr>
                <w:b/>
                <w:sz w:val="28"/>
                <w:szCs w:val="28"/>
              </w:rPr>
              <w:t>8</w:t>
            </w:r>
            <w:r>
              <w:rPr>
                <w:b/>
                <w:sz w:val="28"/>
                <w:szCs w:val="28"/>
              </w:rPr>
              <w:t>/1</w:t>
            </w:r>
            <w:r w:rsidR="00E32FBA">
              <w:rPr>
                <w:b/>
                <w:sz w:val="28"/>
                <w:szCs w:val="28"/>
              </w:rPr>
              <w:t>9</w:t>
            </w:r>
            <w:r>
              <w:rPr>
                <w:b/>
                <w:sz w:val="28"/>
                <w:szCs w:val="28"/>
              </w:rPr>
              <w:t xml:space="preserve"> </w:t>
            </w:r>
          </w:p>
        </w:tc>
        <w:tc>
          <w:tcPr>
            <w:tcW w:w="7801" w:type="dxa"/>
            <w:gridSpan w:val="2"/>
            <w:tcBorders>
              <w:left w:val="single" w:sz="4" w:space="0" w:color="auto"/>
              <w:right w:val="single" w:sz="4" w:space="0" w:color="auto"/>
            </w:tcBorders>
            <w:shd w:val="clear" w:color="auto" w:fill="D9D9D9" w:themeFill="background1" w:themeFillShade="D9"/>
            <w:vAlign w:val="center"/>
          </w:tcPr>
          <w:p w14:paraId="4BE3B159" w14:textId="77777777" w:rsidR="00956108" w:rsidRPr="00561760" w:rsidRDefault="00956108" w:rsidP="009A329B">
            <w:pPr>
              <w:spacing w:after="0" w:line="240" w:lineRule="auto"/>
              <w:rPr>
                <w:sz w:val="28"/>
                <w:szCs w:val="28"/>
              </w:rPr>
            </w:pPr>
          </w:p>
        </w:tc>
      </w:tr>
      <w:tr w:rsidR="00815DA6" w14:paraId="3CF134DF" w14:textId="77777777" w:rsidTr="00B318EA">
        <w:trPr>
          <w:trHeight w:val="397"/>
          <w:jc w:val="center"/>
        </w:trPr>
        <w:tc>
          <w:tcPr>
            <w:tcW w:w="7650" w:type="dxa"/>
            <w:gridSpan w:val="2"/>
            <w:tcBorders>
              <w:left w:val="single" w:sz="4" w:space="0" w:color="auto"/>
              <w:bottom w:val="single" w:sz="4" w:space="0" w:color="auto"/>
              <w:right w:val="single" w:sz="4" w:space="0" w:color="auto"/>
            </w:tcBorders>
            <w:shd w:val="clear" w:color="auto" w:fill="D9E2F3" w:themeFill="accent5" w:themeFillTint="33"/>
            <w:vAlign w:val="center"/>
          </w:tcPr>
          <w:p w14:paraId="13D0E22E" w14:textId="70A11C91" w:rsidR="00815DA6" w:rsidRDefault="00815DA6" w:rsidP="00E32FBA">
            <w:pPr>
              <w:spacing w:after="0" w:line="240" w:lineRule="auto"/>
              <w:jc w:val="center"/>
              <w:rPr>
                <w:b/>
                <w:sz w:val="28"/>
                <w:szCs w:val="28"/>
              </w:rPr>
            </w:pPr>
            <w:r>
              <w:rPr>
                <w:b/>
                <w:sz w:val="28"/>
                <w:szCs w:val="28"/>
              </w:rPr>
              <w:t>RANK POSITION</w:t>
            </w:r>
            <w:r w:rsidR="00265341">
              <w:rPr>
                <w:b/>
                <w:sz w:val="28"/>
                <w:szCs w:val="28"/>
              </w:rPr>
              <w:t>:</w:t>
            </w:r>
            <w:r w:rsidR="00FD1CF1">
              <w:rPr>
                <w:b/>
                <w:sz w:val="28"/>
                <w:szCs w:val="28"/>
                <w:vertAlign w:val="superscript"/>
              </w:rPr>
              <w:t xml:space="preserve"> </w:t>
            </w:r>
            <w:r w:rsidR="00FD1CF1">
              <w:rPr>
                <w:b/>
                <w:sz w:val="28"/>
                <w:szCs w:val="28"/>
              </w:rPr>
              <w:t xml:space="preserve"> </w:t>
            </w:r>
            <w:r w:rsidR="00FB3E89">
              <w:rPr>
                <w:b/>
                <w:sz w:val="28"/>
                <w:szCs w:val="28"/>
              </w:rPr>
              <w:t>5</w:t>
            </w:r>
            <w:r w:rsidR="00FD1CF1">
              <w:rPr>
                <w:b/>
                <w:sz w:val="28"/>
                <w:szCs w:val="28"/>
              </w:rPr>
              <w:t xml:space="preserve">  </w:t>
            </w:r>
            <w:r>
              <w:rPr>
                <w:b/>
                <w:sz w:val="28"/>
                <w:szCs w:val="28"/>
              </w:rPr>
              <w:t>RANK MOVEMENT</w:t>
            </w:r>
            <w:r w:rsidR="00265341">
              <w:rPr>
                <w:b/>
                <w:sz w:val="28"/>
                <w:szCs w:val="28"/>
              </w:rPr>
              <w:t>:</w:t>
            </w:r>
            <w:r>
              <w:rPr>
                <w:b/>
                <w:sz w:val="28"/>
                <w:szCs w:val="28"/>
              </w:rPr>
              <w:t xml:space="preserve"> </w:t>
            </w:r>
            <w:r w:rsidR="00FB3E89">
              <w:rPr>
                <w:b/>
                <w:sz w:val="28"/>
                <w:szCs w:val="28"/>
              </w:rPr>
              <w:t>2</w:t>
            </w:r>
            <w:r w:rsidR="00FB1B66">
              <w:rPr>
                <w:b/>
                <w:sz w:val="28"/>
                <w:szCs w:val="28"/>
              </w:rPr>
              <w:t xml:space="preserve"> </w:t>
            </w:r>
            <w:r w:rsidR="00FB1B66" w:rsidRPr="00EC5E64">
              <w:rPr>
                <w:b/>
                <w:color w:val="00B050"/>
                <w:sz w:val="28"/>
                <w:szCs w:val="28"/>
              </w:rPr>
              <w:sym w:font="Wingdings" w:char="F0E9"/>
            </w:r>
          </w:p>
        </w:tc>
        <w:tc>
          <w:tcPr>
            <w:tcW w:w="7801"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4F81ADB1" w14:textId="77777777" w:rsidR="00815DA6" w:rsidRPr="00561760" w:rsidRDefault="00815DA6" w:rsidP="009A329B">
            <w:pPr>
              <w:spacing w:after="0" w:line="240" w:lineRule="auto"/>
              <w:rPr>
                <w:sz w:val="28"/>
                <w:szCs w:val="28"/>
              </w:rPr>
            </w:pPr>
          </w:p>
        </w:tc>
      </w:tr>
      <w:tr w:rsidR="00653CE6" w14:paraId="2726D7AF" w14:textId="77777777" w:rsidTr="001D6373">
        <w:trPr>
          <w:jc w:val="center"/>
        </w:trPr>
        <w:tc>
          <w:tcPr>
            <w:tcW w:w="15451" w:type="dxa"/>
            <w:gridSpan w:val="4"/>
            <w:tcBorders>
              <w:top w:val="single" w:sz="4" w:space="0" w:color="auto"/>
              <w:left w:val="single" w:sz="4" w:space="0" w:color="auto"/>
              <w:bottom w:val="single" w:sz="4" w:space="0" w:color="auto"/>
              <w:right w:val="single" w:sz="4" w:space="0" w:color="auto"/>
            </w:tcBorders>
            <w:shd w:val="clear" w:color="auto" w:fill="auto"/>
          </w:tcPr>
          <w:p w14:paraId="0C861320" w14:textId="27464529" w:rsidR="00815DA6" w:rsidRPr="00815DA6" w:rsidRDefault="00815DA6" w:rsidP="009A329B">
            <w:pPr>
              <w:spacing w:after="0" w:line="240" w:lineRule="auto"/>
              <w:rPr>
                <w:sz w:val="6"/>
                <w:szCs w:val="6"/>
              </w:rPr>
            </w:pPr>
          </w:p>
          <w:p w14:paraId="0E986A60" w14:textId="77777777" w:rsidR="00653CE6" w:rsidRPr="00F16CDA" w:rsidRDefault="00653CE6" w:rsidP="000F4CDF">
            <w:pPr>
              <w:spacing w:after="120" w:line="240" w:lineRule="auto"/>
              <w:rPr>
                <w:b/>
                <w:sz w:val="28"/>
                <w:szCs w:val="28"/>
              </w:rPr>
            </w:pPr>
            <w:r>
              <w:rPr>
                <w:b/>
                <w:sz w:val="28"/>
                <w:szCs w:val="28"/>
              </w:rPr>
              <w:t>TELLING OUR STORY</w:t>
            </w:r>
            <w:r w:rsidRPr="00F16CDA">
              <w:rPr>
                <w:b/>
                <w:sz w:val="28"/>
                <w:szCs w:val="28"/>
              </w:rPr>
              <w:t>:</w:t>
            </w:r>
          </w:p>
          <w:p w14:paraId="69F9C15D" w14:textId="77777777" w:rsidR="008B75D4" w:rsidRPr="000C2019" w:rsidRDefault="008B75D4" w:rsidP="000F4CDF">
            <w:pPr>
              <w:spacing w:after="120" w:line="240" w:lineRule="auto"/>
              <w:rPr>
                <w:rFonts w:cstheme="minorHAnsi"/>
                <w:sz w:val="24"/>
                <w:szCs w:val="24"/>
              </w:rPr>
            </w:pPr>
            <w:r w:rsidRPr="000C2019">
              <w:rPr>
                <w:rFonts w:cstheme="minorHAnsi"/>
                <w:sz w:val="24"/>
                <w:szCs w:val="24"/>
              </w:rPr>
              <w:t>After a drop in performance reported for the year 2017/18, performance has improved for 2018/19.</w:t>
            </w:r>
          </w:p>
          <w:p w14:paraId="269E7048" w14:textId="77777777" w:rsidR="008B75D4" w:rsidRPr="000C2019" w:rsidRDefault="008B75D4" w:rsidP="000F4CDF">
            <w:pPr>
              <w:spacing w:after="120" w:line="240" w:lineRule="auto"/>
              <w:rPr>
                <w:rFonts w:cstheme="minorHAnsi"/>
                <w:sz w:val="24"/>
                <w:szCs w:val="24"/>
              </w:rPr>
            </w:pPr>
            <w:r w:rsidRPr="000C2019">
              <w:rPr>
                <w:rFonts w:cstheme="minorHAnsi"/>
                <w:sz w:val="24"/>
                <w:szCs w:val="24"/>
              </w:rPr>
              <w:t>Argyll and Bute has had lower percentages of children being looked after in the community than the Scottish average across the lifetime of the LGBF (2011-11 onwards.)</w:t>
            </w:r>
          </w:p>
          <w:p w14:paraId="20FD0EA0" w14:textId="63F0C40F" w:rsidR="008B75D4" w:rsidRPr="00E07175" w:rsidRDefault="008B75D4" w:rsidP="008B75D4">
            <w:pPr>
              <w:spacing w:after="0" w:line="240" w:lineRule="auto"/>
              <w:rPr>
                <w:rFonts w:ascii="Arial" w:hAnsi="Arial" w:cs="Arial"/>
                <w:szCs w:val="24"/>
              </w:rPr>
            </w:pPr>
          </w:p>
        </w:tc>
      </w:tr>
      <w:tr w:rsidR="009F2AE5" w14:paraId="6B9E2D80" w14:textId="77777777" w:rsidTr="001D6373">
        <w:trPr>
          <w:jc w:val="center"/>
        </w:trPr>
        <w:tc>
          <w:tcPr>
            <w:tcW w:w="15451" w:type="dxa"/>
            <w:gridSpan w:val="4"/>
            <w:tcBorders>
              <w:top w:val="single" w:sz="4" w:space="0" w:color="auto"/>
              <w:left w:val="single" w:sz="4" w:space="0" w:color="auto"/>
              <w:bottom w:val="single" w:sz="4" w:space="0" w:color="auto"/>
              <w:right w:val="single" w:sz="4" w:space="0" w:color="auto"/>
            </w:tcBorders>
            <w:shd w:val="clear" w:color="auto" w:fill="auto"/>
          </w:tcPr>
          <w:p w14:paraId="182D19F6" w14:textId="77777777" w:rsidR="009F2AE5" w:rsidRPr="00E32FBA" w:rsidRDefault="009F2AE5" w:rsidP="008D1410">
            <w:pPr>
              <w:spacing w:after="0" w:line="240" w:lineRule="auto"/>
              <w:rPr>
                <w:rFonts w:ascii="Arial" w:hAnsi="Arial" w:cs="Arial"/>
                <w:sz w:val="6"/>
                <w:szCs w:val="6"/>
              </w:rPr>
            </w:pPr>
          </w:p>
          <w:p w14:paraId="1549AD7D" w14:textId="77777777" w:rsidR="009F2AE5" w:rsidRDefault="009F2AE5" w:rsidP="000F4CDF">
            <w:pPr>
              <w:spacing w:after="120" w:line="240" w:lineRule="auto"/>
              <w:rPr>
                <w:b/>
                <w:sz w:val="28"/>
                <w:szCs w:val="28"/>
              </w:rPr>
            </w:pPr>
            <w:r>
              <w:rPr>
                <w:b/>
                <w:sz w:val="28"/>
                <w:szCs w:val="28"/>
              </w:rPr>
              <w:t>LOOKING FORWARD - EXPECTED IMPACT ON INDICATOR:</w:t>
            </w:r>
          </w:p>
          <w:p w14:paraId="6B0982CF" w14:textId="77777777" w:rsidR="003C7E69" w:rsidRPr="00E0468E" w:rsidRDefault="003C7E69" w:rsidP="000F4CDF">
            <w:pPr>
              <w:spacing w:after="120" w:line="240" w:lineRule="auto"/>
              <w:rPr>
                <w:sz w:val="24"/>
                <w:szCs w:val="24"/>
              </w:rPr>
            </w:pPr>
            <w:r w:rsidRPr="00E0468E">
              <w:rPr>
                <w:sz w:val="24"/>
                <w:szCs w:val="24"/>
              </w:rPr>
              <w:t>We anticipate a continued rise in formal kinship arrangements for children being looked which will contribute to a gradu</w:t>
            </w:r>
            <w:r>
              <w:rPr>
                <w:sz w:val="24"/>
                <w:szCs w:val="24"/>
              </w:rPr>
              <w:t>al shift in our balance of care;</w:t>
            </w:r>
            <w:r w:rsidRPr="00E0468E">
              <w:rPr>
                <w:sz w:val="24"/>
                <w:szCs w:val="24"/>
              </w:rPr>
              <w:t xml:space="preserve"> along with </w:t>
            </w:r>
            <w:r>
              <w:rPr>
                <w:sz w:val="24"/>
                <w:szCs w:val="24"/>
              </w:rPr>
              <w:t xml:space="preserve">the </w:t>
            </w:r>
            <w:r w:rsidRPr="00E0468E">
              <w:rPr>
                <w:sz w:val="24"/>
                <w:szCs w:val="24"/>
              </w:rPr>
              <w:t>continued expansion of</w:t>
            </w:r>
            <w:r>
              <w:rPr>
                <w:sz w:val="24"/>
                <w:szCs w:val="24"/>
              </w:rPr>
              <w:t xml:space="preserve"> our </w:t>
            </w:r>
            <w:r w:rsidRPr="00E0468E">
              <w:rPr>
                <w:sz w:val="24"/>
                <w:szCs w:val="24"/>
              </w:rPr>
              <w:t xml:space="preserve">fostering services </w:t>
            </w:r>
            <w:r>
              <w:rPr>
                <w:sz w:val="24"/>
                <w:szCs w:val="24"/>
              </w:rPr>
              <w:t xml:space="preserve">this should </w:t>
            </w:r>
            <w:r w:rsidRPr="00E0468E">
              <w:rPr>
                <w:sz w:val="24"/>
                <w:szCs w:val="24"/>
              </w:rPr>
              <w:t xml:space="preserve">continue to increase in the proportion looked after </w:t>
            </w:r>
            <w:r>
              <w:rPr>
                <w:sz w:val="24"/>
                <w:szCs w:val="24"/>
              </w:rPr>
              <w:t xml:space="preserve">children </w:t>
            </w:r>
            <w:r w:rsidRPr="00E0468E">
              <w:rPr>
                <w:sz w:val="24"/>
                <w:szCs w:val="24"/>
              </w:rPr>
              <w:t>in the community arrangements</w:t>
            </w:r>
            <w:r>
              <w:rPr>
                <w:sz w:val="24"/>
                <w:szCs w:val="24"/>
              </w:rPr>
              <w:t>.</w:t>
            </w:r>
          </w:p>
          <w:p w14:paraId="504E6C51" w14:textId="77777777" w:rsidR="009F2AE5" w:rsidRPr="00815DA6" w:rsidRDefault="009F2AE5" w:rsidP="00E32FBA">
            <w:pPr>
              <w:spacing w:after="0" w:line="240" w:lineRule="auto"/>
              <w:rPr>
                <w:rFonts w:ascii="Arial" w:hAnsi="Arial" w:cs="Arial"/>
                <w:szCs w:val="24"/>
              </w:rPr>
            </w:pPr>
          </w:p>
        </w:tc>
      </w:tr>
    </w:tbl>
    <w:p w14:paraId="57CBDA45" w14:textId="77777777" w:rsidR="001D6373" w:rsidRDefault="001D6373">
      <w:r>
        <w:br w:type="page"/>
      </w:r>
    </w:p>
    <w:tbl>
      <w:tblPr>
        <w:tblW w:w="15309" w:type="dxa"/>
        <w:jc w:val="center"/>
        <w:tblLook w:val="04A0" w:firstRow="1" w:lastRow="0" w:firstColumn="1" w:lastColumn="0" w:noHBand="0" w:noVBand="1"/>
      </w:tblPr>
      <w:tblGrid>
        <w:gridCol w:w="5382"/>
        <w:gridCol w:w="283"/>
        <w:gridCol w:w="1701"/>
        <w:gridCol w:w="142"/>
        <w:gridCol w:w="5812"/>
        <w:gridCol w:w="1989"/>
      </w:tblGrid>
      <w:tr w:rsidR="006452B6" w:rsidRPr="005D65E6" w14:paraId="77638EC4" w14:textId="77777777" w:rsidTr="006452B6">
        <w:trPr>
          <w:trHeight w:val="794"/>
          <w:jc w:val="center"/>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BF7E78" w14:textId="77777777" w:rsidR="006452B6" w:rsidRPr="005D65E6" w:rsidRDefault="006452B6" w:rsidP="005D65E6">
            <w:pPr>
              <w:rPr>
                <w:b/>
                <w:sz w:val="32"/>
              </w:rPr>
            </w:pPr>
            <w:r w:rsidRPr="005D65E6">
              <w:rPr>
                <w:b/>
                <w:sz w:val="32"/>
              </w:rPr>
              <w:lastRenderedPageBreak/>
              <w:t>SERVICE: CHILDREN AND FAMILIES</w:t>
            </w:r>
          </w:p>
        </w:tc>
      </w:tr>
      <w:tr w:rsidR="00171D32" w14:paraId="731FA294" w14:textId="77777777" w:rsidTr="00815DA6">
        <w:trPr>
          <w:trHeight w:val="567"/>
          <w:jc w:val="center"/>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68F8DA" w14:textId="712DD900" w:rsidR="00171D32" w:rsidRPr="00051B12" w:rsidRDefault="00171D32" w:rsidP="009A329B">
            <w:pPr>
              <w:pStyle w:val="Heading1"/>
              <w:spacing w:before="0" w:line="240" w:lineRule="auto"/>
              <w:rPr>
                <w:b/>
              </w:rPr>
            </w:pPr>
            <w:bookmarkStart w:id="14" w:name="_Toc56757692"/>
            <w:r w:rsidRPr="00051B12">
              <w:rPr>
                <w:b/>
                <w:color w:val="auto"/>
              </w:rPr>
              <w:t>INDIC</w:t>
            </w:r>
            <w:r w:rsidR="0069713C">
              <w:rPr>
                <w:b/>
                <w:color w:val="auto"/>
              </w:rPr>
              <w:t>ATOR REF: CHN22 -</w:t>
            </w:r>
            <w:r w:rsidRPr="00051B12">
              <w:rPr>
                <w:b/>
                <w:color w:val="auto"/>
              </w:rPr>
              <w:t xml:space="preserve"> </w:t>
            </w:r>
            <w:r w:rsidR="00145525" w:rsidRPr="00051B12">
              <w:rPr>
                <w:b/>
                <w:color w:val="auto"/>
              </w:rPr>
              <w:t>Percent</w:t>
            </w:r>
            <w:r w:rsidRPr="00051B12">
              <w:rPr>
                <w:b/>
                <w:color w:val="auto"/>
              </w:rPr>
              <w:t>age of child protection re-registrations within 18 months</w:t>
            </w:r>
            <w:bookmarkEnd w:id="14"/>
            <w:r w:rsidR="003D55B4">
              <w:rPr>
                <w:b/>
                <w:color w:val="auto"/>
              </w:rPr>
              <w:t xml:space="preserve"> </w:t>
            </w:r>
          </w:p>
        </w:tc>
      </w:tr>
      <w:tr w:rsidR="003E452D" w14:paraId="47A819D9" w14:textId="77777777" w:rsidTr="00815DA6">
        <w:trPr>
          <w:trHeight w:val="454"/>
          <w:jc w:val="center"/>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FACEA60" w14:textId="765607D9" w:rsidR="003E452D" w:rsidRDefault="003E452D" w:rsidP="003D55B4">
            <w:pPr>
              <w:spacing w:after="0" w:line="240" w:lineRule="auto"/>
              <w:jc w:val="center"/>
              <w:rPr>
                <w:b/>
                <w:sz w:val="28"/>
                <w:szCs w:val="28"/>
              </w:rPr>
            </w:pPr>
            <w:r w:rsidRPr="00C577BD">
              <w:rPr>
                <w:b/>
                <w:color w:val="0070C0"/>
                <w:sz w:val="28"/>
                <w:szCs w:val="28"/>
              </w:rPr>
              <w:t>Performance Range:</w:t>
            </w:r>
            <w:r w:rsidR="00BE08CC">
              <w:rPr>
                <w:b/>
                <w:color w:val="0070C0"/>
                <w:sz w:val="28"/>
                <w:szCs w:val="28"/>
              </w:rPr>
              <w:t xml:space="preserve"> </w:t>
            </w:r>
            <w:r w:rsidR="00D95A0D">
              <w:rPr>
                <w:b/>
                <w:color w:val="0070C0"/>
                <w:sz w:val="28"/>
                <w:szCs w:val="28"/>
              </w:rPr>
              <w:t>0.00</w:t>
            </w:r>
            <w:r w:rsidR="00290A86">
              <w:rPr>
                <w:b/>
                <w:color w:val="0070C0"/>
                <w:sz w:val="28"/>
                <w:szCs w:val="28"/>
              </w:rPr>
              <w:t xml:space="preserve">% to </w:t>
            </w:r>
            <w:r w:rsidR="00D95A0D">
              <w:rPr>
                <w:b/>
                <w:color w:val="0070C0"/>
                <w:sz w:val="28"/>
                <w:szCs w:val="28"/>
              </w:rPr>
              <w:t>19.30</w:t>
            </w:r>
            <w:r w:rsidR="00290A86">
              <w:rPr>
                <w:b/>
                <w:color w:val="0070C0"/>
                <w:sz w:val="28"/>
                <w:szCs w:val="28"/>
              </w:rPr>
              <w:t xml:space="preserve">% </w:t>
            </w:r>
            <w:r w:rsidR="003D55B4">
              <w:rPr>
                <w:b/>
                <w:color w:val="0070C0"/>
                <w:sz w:val="28"/>
                <w:szCs w:val="28"/>
              </w:rPr>
              <w:t xml:space="preserve"> </w:t>
            </w:r>
            <w:r w:rsidR="00BE08CC" w:rsidRPr="00BE08CC">
              <w:rPr>
                <w:b/>
                <w:color w:val="0070C0"/>
                <w:sz w:val="28"/>
                <w:szCs w:val="28"/>
              </w:rPr>
              <w:t>(Lowest is best)</w:t>
            </w:r>
          </w:p>
        </w:tc>
      </w:tr>
      <w:tr w:rsidR="00171D32" w14:paraId="1BA0496A" w14:textId="77777777" w:rsidTr="00E83409">
        <w:trPr>
          <w:trHeight w:val="397"/>
          <w:jc w:val="center"/>
        </w:trPr>
        <w:tc>
          <w:tcPr>
            <w:tcW w:w="7508"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6F483C9" w14:textId="77777777" w:rsidR="00171D32" w:rsidRDefault="00171D32" w:rsidP="009A329B">
            <w:pPr>
              <w:spacing w:after="0" w:line="240" w:lineRule="auto"/>
              <w:jc w:val="center"/>
              <w:rPr>
                <w:b/>
                <w:sz w:val="28"/>
                <w:szCs w:val="28"/>
              </w:rPr>
            </w:pPr>
            <w:r>
              <w:rPr>
                <w:b/>
                <w:sz w:val="28"/>
                <w:szCs w:val="28"/>
              </w:rPr>
              <w:t>ARGYLL AND BUTE</w:t>
            </w:r>
          </w:p>
        </w:tc>
        <w:tc>
          <w:tcPr>
            <w:tcW w:w="780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D70635A" w14:textId="77777777" w:rsidR="00171D32" w:rsidRDefault="00171D32" w:rsidP="009A329B">
            <w:pPr>
              <w:spacing w:after="0" w:line="240" w:lineRule="auto"/>
              <w:jc w:val="center"/>
              <w:rPr>
                <w:b/>
                <w:sz w:val="28"/>
                <w:szCs w:val="28"/>
              </w:rPr>
            </w:pPr>
            <w:r>
              <w:rPr>
                <w:b/>
                <w:sz w:val="28"/>
                <w:szCs w:val="28"/>
              </w:rPr>
              <w:t>SCOTLAND</w:t>
            </w:r>
          </w:p>
        </w:tc>
      </w:tr>
      <w:tr w:rsidR="00171D32" w14:paraId="3B678C46" w14:textId="77777777" w:rsidTr="00815DA6">
        <w:trPr>
          <w:trHeight w:val="397"/>
          <w:jc w:val="center"/>
        </w:trPr>
        <w:tc>
          <w:tcPr>
            <w:tcW w:w="75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2D398D" w14:textId="11245947" w:rsidR="00171D32" w:rsidRPr="0098154A" w:rsidRDefault="00D95A0D" w:rsidP="009A329B">
            <w:pPr>
              <w:spacing w:after="0" w:line="240" w:lineRule="auto"/>
              <w:jc w:val="center"/>
              <w:rPr>
                <w:b/>
                <w:sz w:val="28"/>
                <w:szCs w:val="28"/>
              </w:rPr>
            </w:pPr>
            <w:r>
              <w:rPr>
                <w:b/>
                <w:sz w:val="28"/>
                <w:szCs w:val="28"/>
              </w:rPr>
              <w:t>3.57</w:t>
            </w:r>
            <w:r w:rsidR="003D55B4">
              <w:rPr>
                <w:b/>
                <w:sz w:val="28"/>
                <w:szCs w:val="28"/>
              </w:rPr>
              <w:t>%</w:t>
            </w:r>
            <w:r w:rsidR="00327DD0">
              <w:rPr>
                <w:b/>
                <w:sz w:val="28"/>
                <w:szCs w:val="28"/>
              </w:rPr>
              <w:t xml:space="preserve"> </w:t>
            </w:r>
          </w:p>
        </w:tc>
        <w:tc>
          <w:tcPr>
            <w:tcW w:w="7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05D274" w14:textId="07F0AB83" w:rsidR="00171D32" w:rsidRDefault="00B12BC1" w:rsidP="009A329B">
            <w:pPr>
              <w:spacing w:after="0" w:line="240" w:lineRule="auto"/>
              <w:jc w:val="center"/>
              <w:rPr>
                <w:b/>
                <w:sz w:val="28"/>
                <w:szCs w:val="28"/>
              </w:rPr>
            </w:pPr>
            <w:r>
              <w:rPr>
                <w:sz w:val="28"/>
                <w:szCs w:val="28"/>
              </w:rPr>
              <w:t>7.22</w:t>
            </w:r>
            <w:r w:rsidR="003D55B4">
              <w:rPr>
                <w:sz w:val="28"/>
                <w:szCs w:val="28"/>
              </w:rPr>
              <w:t>%</w:t>
            </w:r>
          </w:p>
        </w:tc>
      </w:tr>
      <w:tr w:rsidR="00653CE6" w14:paraId="6FBF4684" w14:textId="77777777" w:rsidTr="00815DA6">
        <w:trPr>
          <w:trHeight w:val="397"/>
          <w:jc w:val="center"/>
        </w:trPr>
        <w:tc>
          <w:tcPr>
            <w:tcW w:w="5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7D34FF" w14:textId="24C30D0F" w:rsidR="00653CE6" w:rsidRPr="0098154A" w:rsidRDefault="00653CE6" w:rsidP="003D55B4">
            <w:pPr>
              <w:spacing w:after="0" w:line="240" w:lineRule="auto"/>
              <w:jc w:val="center"/>
              <w:rPr>
                <w:b/>
                <w:sz w:val="28"/>
                <w:szCs w:val="28"/>
              </w:rPr>
            </w:pPr>
            <w:r w:rsidRPr="0098154A">
              <w:rPr>
                <w:b/>
                <w:sz w:val="28"/>
                <w:szCs w:val="28"/>
              </w:rPr>
              <w:t>CHANGE 201</w:t>
            </w:r>
            <w:r w:rsidR="003D55B4">
              <w:rPr>
                <w:b/>
                <w:sz w:val="28"/>
                <w:szCs w:val="28"/>
              </w:rPr>
              <w:t>7</w:t>
            </w:r>
            <w:r w:rsidRPr="0098154A">
              <w:rPr>
                <w:b/>
                <w:sz w:val="28"/>
                <w:szCs w:val="28"/>
              </w:rPr>
              <w:t>/1</w:t>
            </w:r>
            <w:r w:rsidR="003D55B4">
              <w:rPr>
                <w:b/>
                <w:sz w:val="28"/>
                <w:szCs w:val="28"/>
              </w:rPr>
              <w:t>8</w:t>
            </w:r>
            <w:r w:rsidRPr="0098154A">
              <w:rPr>
                <w:b/>
                <w:sz w:val="28"/>
                <w:szCs w:val="28"/>
              </w:rPr>
              <w:t xml:space="preserve"> TO 201</w:t>
            </w:r>
            <w:r w:rsidR="003D55B4">
              <w:rPr>
                <w:b/>
                <w:sz w:val="28"/>
                <w:szCs w:val="28"/>
              </w:rPr>
              <w:t>8</w:t>
            </w:r>
            <w:r w:rsidRPr="0098154A">
              <w:rPr>
                <w:b/>
                <w:sz w:val="28"/>
                <w:szCs w:val="28"/>
              </w:rPr>
              <w:t>/1</w:t>
            </w:r>
            <w:r w:rsidR="003D55B4">
              <w:rPr>
                <w:b/>
                <w:sz w:val="28"/>
                <w:szCs w:val="28"/>
              </w:rPr>
              <w:t>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6CCC3" w14:textId="1A677400" w:rsidR="00653CE6" w:rsidRPr="0098154A" w:rsidRDefault="00B12BC1" w:rsidP="009A329B">
            <w:pPr>
              <w:spacing w:after="0" w:line="240" w:lineRule="auto"/>
              <w:jc w:val="center"/>
              <w:rPr>
                <w:b/>
                <w:sz w:val="28"/>
                <w:szCs w:val="28"/>
              </w:rPr>
            </w:pPr>
            <w:r>
              <w:rPr>
                <w:b/>
                <w:sz w:val="28"/>
                <w:szCs w:val="28"/>
              </w:rPr>
              <w:t>-12.22</w:t>
            </w:r>
            <w:r w:rsidR="00327DD0">
              <w:rPr>
                <w:b/>
                <w:sz w:val="28"/>
                <w:szCs w:val="28"/>
              </w:rPr>
              <w:t xml:space="preserve"> </w:t>
            </w:r>
            <w:r w:rsidR="00327DD0" w:rsidRPr="00EC5E64">
              <w:rPr>
                <w:b/>
                <w:color w:val="00B050"/>
                <w:sz w:val="28"/>
                <w:szCs w:val="28"/>
              </w:rPr>
              <w:sym w:font="Wingdings" w:char="F0EA"/>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6CA4289" w14:textId="0480FD66" w:rsidR="00653CE6" w:rsidRPr="00561760" w:rsidRDefault="00653CE6" w:rsidP="003D55B4">
            <w:pPr>
              <w:spacing w:after="0" w:line="240" w:lineRule="auto"/>
              <w:jc w:val="center"/>
              <w:rPr>
                <w:sz w:val="28"/>
                <w:szCs w:val="28"/>
              </w:rPr>
            </w:pPr>
            <w:r>
              <w:rPr>
                <w:sz w:val="28"/>
                <w:szCs w:val="28"/>
              </w:rPr>
              <w:t>CHANGE 201</w:t>
            </w:r>
            <w:r w:rsidR="003D55B4">
              <w:rPr>
                <w:sz w:val="28"/>
                <w:szCs w:val="28"/>
              </w:rPr>
              <w:t>7</w:t>
            </w:r>
            <w:r>
              <w:rPr>
                <w:sz w:val="28"/>
                <w:szCs w:val="28"/>
              </w:rPr>
              <w:t>/1</w:t>
            </w:r>
            <w:r w:rsidR="003D55B4">
              <w:rPr>
                <w:sz w:val="28"/>
                <w:szCs w:val="28"/>
              </w:rPr>
              <w:t>8</w:t>
            </w:r>
            <w:r>
              <w:rPr>
                <w:sz w:val="28"/>
                <w:szCs w:val="28"/>
              </w:rPr>
              <w:t xml:space="preserve"> TO 201</w:t>
            </w:r>
            <w:r w:rsidR="003D55B4">
              <w:rPr>
                <w:sz w:val="28"/>
                <w:szCs w:val="28"/>
              </w:rPr>
              <w:t>8</w:t>
            </w:r>
            <w:r>
              <w:rPr>
                <w:sz w:val="28"/>
                <w:szCs w:val="28"/>
              </w:rPr>
              <w:t>/1</w:t>
            </w:r>
            <w:r w:rsidR="003D55B4">
              <w:rPr>
                <w:sz w:val="28"/>
                <w:szCs w:val="28"/>
              </w:rPr>
              <w:t>9</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3867589D" w14:textId="0DC1C1B5" w:rsidR="00653CE6" w:rsidRPr="00327DD0" w:rsidRDefault="00327DD0" w:rsidP="009A329B">
            <w:pPr>
              <w:spacing w:after="0" w:line="240" w:lineRule="auto"/>
              <w:jc w:val="center"/>
              <w:rPr>
                <w:sz w:val="28"/>
                <w:szCs w:val="28"/>
              </w:rPr>
            </w:pPr>
            <w:r w:rsidRPr="00327DD0">
              <w:rPr>
                <w:sz w:val="28"/>
                <w:szCs w:val="28"/>
              </w:rPr>
              <w:t>1.1</w:t>
            </w:r>
            <w:r>
              <w:rPr>
                <w:sz w:val="28"/>
                <w:szCs w:val="28"/>
              </w:rPr>
              <w:t xml:space="preserve"> </w:t>
            </w:r>
            <w:r w:rsidRPr="00C14931">
              <w:rPr>
                <w:b/>
                <w:color w:val="FF0000"/>
                <w:sz w:val="28"/>
                <w:szCs w:val="28"/>
              </w:rPr>
              <w:sym w:font="Wingdings" w:char="F0E9"/>
            </w:r>
          </w:p>
        </w:tc>
      </w:tr>
      <w:tr w:rsidR="00653CE6" w14:paraId="58740481" w14:textId="77777777" w:rsidTr="00815DA6">
        <w:trPr>
          <w:trHeight w:val="397"/>
          <w:jc w:val="center"/>
        </w:trPr>
        <w:tc>
          <w:tcPr>
            <w:tcW w:w="5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011ABC" w14:textId="69D8CD31" w:rsidR="00653CE6" w:rsidRPr="0098154A" w:rsidRDefault="00653CE6" w:rsidP="003D55B4">
            <w:pPr>
              <w:spacing w:after="0" w:line="240" w:lineRule="auto"/>
              <w:jc w:val="center"/>
              <w:rPr>
                <w:b/>
                <w:sz w:val="28"/>
                <w:szCs w:val="28"/>
              </w:rPr>
            </w:pPr>
            <w:r w:rsidRPr="0098154A">
              <w:rPr>
                <w:b/>
                <w:sz w:val="28"/>
                <w:szCs w:val="28"/>
              </w:rPr>
              <w:t>CHANGE BASE YEAR TO 201</w:t>
            </w:r>
            <w:r w:rsidR="003D55B4">
              <w:rPr>
                <w:b/>
                <w:sz w:val="28"/>
                <w:szCs w:val="28"/>
              </w:rPr>
              <w:t>8</w:t>
            </w:r>
            <w:r w:rsidRPr="0098154A">
              <w:rPr>
                <w:b/>
                <w:sz w:val="28"/>
                <w:szCs w:val="28"/>
              </w:rPr>
              <w:t>/1</w:t>
            </w:r>
            <w:r w:rsidR="003D55B4">
              <w:rPr>
                <w:b/>
                <w:sz w:val="28"/>
                <w:szCs w:val="28"/>
              </w:rPr>
              <w:t>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6B5D9C" w14:textId="7CFD8905" w:rsidR="00653CE6" w:rsidRPr="0098154A" w:rsidRDefault="00B12BC1" w:rsidP="009A329B">
            <w:pPr>
              <w:spacing w:after="0" w:line="240" w:lineRule="auto"/>
              <w:jc w:val="center"/>
              <w:rPr>
                <w:b/>
                <w:sz w:val="28"/>
                <w:szCs w:val="28"/>
              </w:rPr>
            </w:pPr>
            <w:r>
              <w:rPr>
                <w:b/>
                <w:sz w:val="28"/>
                <w:szCs w:val="28"/>
              </w:rPr>
              <w:t>-4.59</w:t>
            </w:r>
            <w:r w:rsidR="00327DD0">
              <w:rPr>
                <w:b/>
                <w:sz w:val="28"/>
                <w:szCs w:val="28"/>
              </w:rPr>
              <w:t xml:space="preserve"> </w:t>
            </w:r>
            <w:r w:rsidR="00327DD0" w:rsidRPr="00EC5E64">
              <w:rPr>
                <w:b/>
                <w:color w:val="00B050"/>
                <w:sz w:val="28"/>
                <w:szCs w:val="28"/>
              </w:rPr>
              <w:sym w:font="Wingdings" w:char="F0EA"/>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AF3162C" w14:textId="6385F2DE" w:rsidR="00653CE6" w:rsidRPr="00561760" w:rsidRDefault="003D55B4" w:rsidP="003D55B4">
            <w:pPr>
              <w:spacing w:after="0" w:line="240" w:lineRule="auto"/>
              <w:jc w:val="center"/>
              <w:rPr>
                <w:sz w:val="28"/>
                <w:szCs w:val="28"/>
              </w:rPr>
            </w:pPr>
            <w:r>
              <w:rPr>
                <w:sz w:val="28"/>
                <w:szCs w:val="28"/>
              </w:rPr>
              <w:t>CHANGE BASE YEAR TO 2018</w:t>
            </w:r>
            <w:r w:rsidR="00653CE6">
              <w:rPr>
                <w:sz w:val="28"/>
                <w:szCs w:val="28"/>
              </w:rPr>
              <w:t>/1</w:t>
            </w:r>
            <w:r>
              <w:rPr>
                <w:sz w:val="28"/>
                <w:szCs w:val="28"/>
              </w:rPr>
              <w:t>9</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7AA64A0E" w14:textId="3C4B78C6" w:rsidR="003D55B4" w:rsidRPr="00327DD0" w:rsidRDefault="00327DD0" w:rsidP="003D55B4">
            <w:pPr>
              <w:spacing w:after="0" w:line="240" w:lineRule="auto"/>
              <w:jc w:val="center"/>
              <w:rPr>
                <w:sz w:val="28"/>
                <w:szCs w:val="28"/>
              </w:rPr>
            </w:pPr>
            <w:r>
              <w:rPr>
                <w:sz w:val="28"/>
                <w:szCs w:val="28"/>
              </w:rPr>
              <w:t xml:space="preserve">0.75 </w:t>
            </w:r>
            <w:r w:rsidRPr="00C14931">
              <w:rPr>
                <w:b/>
                <w:color w:val="FF0000"/>
                <w:sz w:val="28"/>
                <w:szCs w:val="28"/>
              </w:rPr>
              <w:sym w:font="Wingdings" w:char="F0E9"/>
            </w:r>
          </w:p>
        </w:tc>
      </w:tr>
      <w:tr w:rsidR="00653CE6" w14:paraId="34F850EB" w14:textId="77777777" w:rsidTr="00B318EA">
        <w:trPr>
          <w:trHeight w:val="397"/>
          <w:jc w:val="center"/>
        </w:trPr>
        <w:tc>
          <w:tcPr>
            <w:tcW w:w="75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DDA7CB" w14:textId="0B0D063D" w:rsidR="00653CE6" w:rsidRPr="0098154A" w:rsidRDefault="00653CE6" w:rsidP="003D55B4">
            <w:pPr>
              <w:spacing w:after="0" w:line="240" w:lineRule="auto"/>
              <w:jc w:val="center"/>
              <w:rPr>
                <w:b/>
                <w:sz w:val="28"/>
                <w:szCs w:val="28"/>
              </w:rPr>
            </w:pPr>
            <w:r w:rsidRPr="0098154A">
              <w:rPr>
                <w:b/>
                <w:sz w:val="28"/>
                <w:szCs w:val="28"/>
              </w:rPr>
              <w:t>RANK POSITION:</w:t>
            </w:r>
            <w:r w:rsidR="00513443">
              <w:rPr>
                <w:b/>
                <w:sz w:val="28"/>
                <w:szCs w:val="28"/>
              </w:rPr>
              <w:t xml:space="preserve">  </w:t>
            </w:r>
            <w:r w:rsidR="00B12BC1">
              <w:rPr>
                <w:b/>
                <w:sz w:val="28"/>
                <w:szCs w:val="28"/>
              </w:rPr>
              <w:t>7</w:t>
            </w:r>
            <w:r w:rsidR="00513443">
              <w:rPr>
                <w:b/>
                <w:sz w:val="28"/>
                <w:szCs w:val="28"/>
              </w:rPr>
              <w:t xml:space="preserve">  </w:t>
            </w:r>
            <w:r w:rsidRPr="0098154A">
              <w:rPr>
                <w:b/>
                <w:sz w:val="28"/>
                <w:szCs w:val="28"/>
              </w:rPr>
              <w:t>RANK MOVEMENT:</w:t>
            </w:r>
            <w:r w:rsidR="004E2BBF">
              <w:rPr>
                <w:b/>
                <w:sz w:val="28"/>
                <w:szCs w:val="28"/>
              </w:rPr>
              <w:t xml:space="preserve"> </w:t>
            </w:r>
            <w:r w:rsidR="00B12BC1">
              <w:rPr>
                <w:b/>
                <w:sz w:val="28"/>
                <w:szCs w:val="28"/>
              </w:rPr>
              <w:t>23</w:t>
            </w:r>
            <w:r w:rsidR="00327DD0">
              <w:rPr>
                <w:b/>
                <w:sz w:val="28"/>
                <w:szCs w:val="28"/>
              </w:rPr>
              <w:t xml:space="preserve"> </w:t>
            </w:r>
            <w:r w:rsidR="00327DD0" w:rsidRPr="00EC5E64">
              <w:rPr>
                <w:b/>
                <w:color w:val="00B050"/>
                <w:sz w:val="28"/>
                <w:szCs w:val="28"/>
              </w:rPr>
              <w:sym w:font="Wingdings" w:char="F0E9"/>
            </w:r>
          </w:p>
        </w:tc>
        <w:tc>
          <w:tcPr>
            <w:tcW w:w="780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537B1C44" w14:textId="77777777" w:rsidR="00653CE6" w:rsidRPr="00561760" w:rsidRDefault="00653CE6" w:rsidP="009A329B">
            <w:pPr>
              <w:spacing w:after="0" w:line="240" w:lineRule="auto"/>
              <w:rPr>
                <w:sz w:val="28"/>
                <w:szCs w:val="28"/>
              </w:rPr>
            </w:pPr>
          </w:p>
        </w:tc>
      </w:tr>
      <w:tr w:rsidR="00051B12" w14:paraId="4B222BB0" w14:textId="77777777" w:rsidTr="00B318EA">
        <w:trPr>
          <w:trHeight w:val="397"/>
          <w:jc w:val="center"/>
        </w:trPr>
        <w:tc>
          <w:tcPr>
            <w:tcW w:w="7508" w:type="dxa"/>
            <w:gridSpan w:val="4"/>
            <w:tcBorders>
              <w:top w:val="single" w:sz="4" w:space="0" w:color="auto"/>
              <w:left w:val="single" w:sz="4" w:space="0" w:color="auto"/>
              <w:right w:val="single" w:sz="4" w:space="0" w:color="auto"/>
            </w:tcBorders>
            <w:shd w:val="clear" w:color="auto" w:fill="D9E2F3" w:themeFill="accent5" w:themeFillTint="33"/>
            <w:vAlign w:val="center"/>
          </w:tcPr>
          <w:p w14:paraId="354516A5" w14:textId="4B2C8387" w:rsidR="00051B12" w:rsidRPr="0098154A" w:rsidRDefault="00051B12" w:rsidP="003D55B4">
            <w:pPr>
              <w:spacing w:after="0" w:line="240" w:lineRule="auto"/>
              <w:jc w:val="center"/>
              <w:rPr>
                <w:b/>
                <w:sz w:val="28"/>
                <w:szCs w:val="28"/>
              </w:rPr>
            </w:pPr>
            <w:r>
              <w:rPr>
                <w:b/>
                <w:sz w:val="28"/>
                <w:szCs w:val="28"/>
              </w:rPr>
              <w:t>FAMILY G</w:t>
            </w:r>
            <w:r w:rsidR="00815DA6">
              <w:rPr>
                <w:b/>
                <w:sz w:val="28"/>
                <w:szCs w:val="28"/>
              </w:rPr>
              <w:t>ROUP RANKING 201</w:t>
            </w:r>
            <w:r w:rsidR="003D55B4">
              <w:rPr>
                <w:b/>
                <w:sz w:val="28"/>
                <w:szCs w:val="28"/>
              </w:rPr>
              <w:t>8</w:t>
            </w:r>
            <w:r w:rsidR="00815DA6">
              <w:rPr>
                <w:b/>
                <w:sz w:val="28"/>
                <w:szCs w:val="28"/>
              </w:rPr>
              <w:t>/1</w:t>
            </w:r>
            <w:r w:rsidR="003D55B4">
              <w:rPr>
                <w:b/>
                <w:sz w:val="28"/>
                <w:szCs w:val="28"/>
              </w:rPr>
              <w:t>9</w:t>
            </w:r>
            <w:r w:rsidR="00815DA6">
              <w:rPr>
                <w:b/>
                <w:sz w:val="28"/>
                <w:szCs w:val="28"/>
              </w:rPr>
              <w:t xml:space="preserve"> </w:t>
            </w:r>
          </w:p>
        </w:tc>
        <w:tc>
          <w:tcPr>
            <w:tcW w:w="7801" w:type="dxa"/>
            <w:gridSpan w:val="2"/>
            <w:tcBorders>
              <w:left w:val="single" w:sz="4" w:space="0" w:color="auto"/>
              <w:right w:val="single" w:sz="4" w:space="0" w:color="auto"/>
            </w:tcBorders>
            <w:shd w:val="clear" w:color="auto" w:fill="D9D9D9" w:themeFill="background1" w:themeFillShade="D9"/>
            <w:vAlign w:val="center"/>
          </w:tcPr>
          <w:p w14:paraId="36829886" w14:textId="77777777" w:rsidR="00051B12" w:rsidRPr="00561760" w:rsidRDefault="00051B12" w:rsidP="009A329B">
            <w:pPr>
              <w:spacing w:after="0" w:line="240" w:lineRule="auto"/>
              <w:rPr>
                <w:sz w:val="28"/>
                <w:szCs w:val="28"/>
              </w:rPr>
            </w:pPr>
          </w:p>
        </w:tc>
      </w:tr>
      <w:tr w:rsidR="00815DA6" w14:paraId="5B208256" w14:textId="77777777" w:rsidTr="00B318EA">
        <w:trPr>
          <w:trHeight w:val="397"/>
          <w:jc w:val="center"/>
        </w:trPr>
        <w:tc>
          <w:tcPr>
            <w:tcW w:w="7508" w:type="dxa"/>
            <w:gridSpan w:val="4"/>
            <w:tcBorders>
              <w:left w:val="single" w:sz="4" w:space="0" w:color="auto"/>
              <w:bottom w:val="single" w:sz="4" w:space="0" w:color="auto"/>
              <w:right w:val="single" w:sz="4" w:space="0" w:color="auto"/>
            </w:tcBorders>
            <w:shd w:val="clear" w:color="auto" w:fill="D9E2F3" w:themeFill="accent5" w:themeFillTint="33"/>
            <w:vAlign w:val="center"/>
          </w:tcPr>
          <w:p w14:paraId="78F2E510" w14:textId="76E4F605" w:rsidR="00815DA6" w:rsidRDefault="00815DA6" w:rsidP="003D55B4">
            <w:pPr>
              <w:spacing w:after="0" w:line="240" w:lineRule="auto"/>
              <w:jc w:val="center"/>
              <w:rPr>
                <w:b/>
                <w:sz w:val="28"/>
                <w:szCs w:val="28"/>
              </w:rPr>
            </w:pPr>
            <w:r>
              <w:rPr>
                <w:b/>
                <w:sz w:val="28"/>
                <w:szCs w:val="28"/>
              </w:rPr>
              <w:t>RANK POSITION</w:t>
            </w:r>
            <w:r w:rsidR="00265341">
              <w:rPr>
                <w:b/>
                <w:sz w:val="28"/>
                <w:szCs w:val="28"/>
              </w:rPr>
              <w:t>:</w:t>
            </w:r>
            <w:r w:rsidR="00FD1CF1">
              <w:rPr>
                <w:b/>
                <w:sz w:val="28"/>
                <w:szCs w:val="28"/>
              </w:rPr>
              <w:t xml:space="preserve">  </w:t>
            </w:r>
            <w:r w:rsidR="00B12BC1">
              <w:rPr>
                <w:b/>
                <w:sz w:val="28"/>
                <w:szCs w:val="28"/>
              </w:rPr>
              <w:t>3</w:t>
            </w:r>
            <w:r w:rsidR="00FD1CF1">
              <w:rPr>
                <w:b/>
                <w:sz w:val="28"/>
                <w:szCs w:val="28"/>
              </w:rPr>
              <w:t xml:space="preserve">  </w:t>
            </w:r>
            <w:r>
              <w:rPr>
                <w:b/>
                <w:sz w:val="28"/>
                <w:szCs w:val="28"/>
              </w:rPr>
              <w:t>RANK MOVEMENT</w:t>
            </w:r>
            <w:r w:rsidR="00265341">
              <w:rPr>
                <w:b/>
                <w:sz w:val="28"/>
                <w:szCs w:val="28"/>
              </w:rPr>
              <w:t>:</w:t>
            </w:r>
            <w:r>
              <w:rPr>
                <w:b/>
                <w:sz w:val="28"/>
                <w:szCs w:val="28"/>
              </w:rPr>
              <w:t xml:space="preserve"> </w:t>
            </w:r>
            <w:r w:rsidR="00B12BC1">
              <w:rPr>
                <w:b/>
                <w:sz w:val="28"/>
                <w:szCs w:val="28"/>
              </w:rPr>
              <w:t>5</w:t>
            </w:r>
            <w:r w:rsidR="00327DD0">
              <w:rPr>
                <w:b/>
                <w:sz w:val="28"/>
                <w:szCs w:val="28"/>
              </w:rPr>
              <w:t xml:space="preserve"> </w:t>
            </w:r>
            <w:r w:rsidR="00327DD0" w:rsidRPr="00EC5E64">
              <w:rPr>
                <w:b/>
                <w:color w:val="00B050"/>
                <w:sz w:val="28"/>
                <w:szCs w:val="28"/>
              </w:rPr>
              <w:sym w:font="Wingdings" w:char="F0E9"/>
            </w:r>
          </w:p>
        </w:tc>
        <w:tc>
          <w:tcPr>
            <w:tcW w:w="7801"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194A86C2" w14:textId="77777777" w:rsidR="00815DA6" w:rsidRPr="00561760" w:rsidRDefault="00815DA6" w:rsidP="009A329B">
            <w:pPr>
              <w:spacing w:after="0" w:line="240" w:lineRule="auto"/>
              <w:rPr>
                <w:sz w:val="28"/>
                <w:szCs w:val="28"/>
              </w:rPr>
            </w:pPr>
          </w:p>
        </w:tc>
      </w:tr>
      <w:tr w:rsidR="00653CE6" w14:paraId="23C8E556" w14:textId="77777777" w:rsidTr="00051B12">
        <w:trPr>
          <w:jc w:val="center"/>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tcPr>
          <w:p w14:paraId="0935107C" w14:textId="77777777" w:rsidR="00815DA6" w:rsidRPr="00815DA6" w:rsidRDefault="00815DA6" w:rsidP="000F4CDF">
            <w:pPr>
              <w:spacing w:after="120" w:line="240" w:lineRule="auto"/>
              <w:rPr>
                <w:sz w:val="6"/>
                <w:szCs w:val="6"/>
              </w:rPr>
            </w:pPr>
          </w:p>
          <w:p w14:paraId="53C62675" w14:textId="77777777" w:rsidR="00653CE6" w:rsidRDefault="00653CE6" w:rsidP="000F4CDF">
            <w:pPr>
              <w:spacing w:after="120" w:line="240" w:lineRule="auto"/>
              <w:rPr>
                <w:b/>
                <w:sz w:val="28"/>
                <w:szCs w:val="28"/>
              </w:rPr>
            </w:pPr>
            <w:r>
              <w:rPr>
                <w:b/>
                <w:sz w:val="28"/>
                <w:szCs w:val="28"/>
              </w:rPr>
              <w:t>TELLING OUR STORY</w:t>
            </w:r>
            <w:r w:rsidRPr="00F16CDA">
              <w:rPr>
                <w:b/>
                <w:sz w:val="28"/>
                <w:szCs w:val="28"/>
              </w:rPr>
              <w:t>:</w:t>
            </w:r>
          </w:p>
          <w:p w14:paraId="4C8D86F0" w14:textId="452D3283" w:rsidR="00803DDB" w:rsidRDefault="00803DDB" w:rsidP="000F4CDF">
            <w:pPr>
              <w:spacing w:after="120" w:line="240" w:lineRule="auto"/>
              <w:rPr>
                <w:sz w:val="24"/>
                <w:szCs w:val="24"/>
              </w:rPr>
            </w:pPr>
            <w:r w:rsidRPr="001453C3">
              <w:rPr>
                <w:sz w:val="24"/>
                <w:szCs w:val="24"/>
              </w:rPr>
              <w:t>There has been a marked improvement in performance between 2017/18 and 2018/19. This is reflected both in the fall in the % of child protection re-registraions reported in 2017/18 (15.79%) and 2018/19 (3.57%) and in the improvement in ranking across Scotland from 30 (2017/1</w:t>
            </w:r>
            <w:r w:rsidR="003E0B34" w:rsidRPr="001453C3">
              <w:rPr>
                <w:sz w:val="24"/>
                <w:szCs w:val="24"/>
              </w:rPr>
              <w:t>8) to 7 (2018/19, which puts Argyll and Bute's</w:t>
            </w:r>
            <w:r w:rsidRPr="001453C3">
              <w:rPr>
                <w:sz w:val="24"/>
                <w:szCs w:val="24"/>
              </w:rPr>
              <w:t xml:space="preserve"> performance within the upper quartile of Scottish local authorities.)</w:t>
            </w:r>
          </w:p>
          <w:p w14:paraId="658BA868" w14:textId="77777777" w:rsidR="003C7E69" w:rsidRPr="001453C3" w:rsidRDefault="003C7E69" w:rsidP="000F4CDF">
            <w:pPr>
              <w:spacing w:after="120" w:line="240" w:lineRule="auto"/>
              <w:rPr>
                <w:sz w:val="24"/>
                <w:szCs w:val="24"/>
              </w:rPr>
            </w:pPr>
            <w:r>
              <w:rPr>
                <w:sz w:val="24"/>
                <w:szCs w:val="24"/>
              </w:rPr>
              <w:t xml:space="preserve">The CPC identified this as a priority area for improvement and introduced systematic reviewing of all re registrations to support service improvements along with new performance reporting systems </w:t>
            </w:r>
          </w:p>
          <w:p w14:paraId="44163A57" w14:textId="77777777" w:rsidR="003D55B4" w:rsidRPr="003D55B4" w:rsidRDefault="003D55B4" w:rsidP="000F4CDF">
            <w:pPr>
              <w:spacing w:after="120" w:line="240" w:lineRule="auto"/>
              <w:rPr>
                <w:rFonts w:ascii="Arial" w:hAnsi="Arial" w:cs="Arial"/>
              </w:rPr>
            </w:pPr>
          </w:p>
        </w:tc>
      </w:tr>
      <w:tr w:rsidR="00653CE6" w14:paraId="66CD8A70" w14:textId="77777777" w:rsidTr="00051B12">
        <w:trPr>
          <w:jc w:val="center"/>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tcPr>
          <w:p w14:paraId="6D12E3E3" w14:textId="77777777" w:rsidR="00815DA6" w:rsidRPr="00815DA6" w:rsidRDefault="00815DA6" w:rsidP="009A329B">
            <w:pPr>
              <w:spacing w:after="0" w:line="240" w:lineRule="auto"/>
              <w:rPr>
                <w:sz w:val="6"/>
                <w:szCs w:val="6"/>
              </w:rPr>
            </w:pPr>
          </w:p>
          <w:p w14:paraId="08BD7EE5" w14:textId="77777777" w:rsidR="00653CE6" w:rsidRDefault="00232953" w:rsidP="000F4CDF">
            <w:pPr>
              <w:spacing w:after="120" w:line="240" w:lineRule="auto"/>
              <w:rPr>
                <w:b/>
                <w:sz w:val="28"/>
                <w:szCs w:val="28"/>
              </w:rPr>
            </w:pPr>
            <w:r>
              <w:rPr>
                <w:b/>
                <w:sz w:val="28"/>
                <w:szCs w:val="28"/>
              </w:rPr>
              <w:t>LOOKING FORWARD - EXPECTED IMPACT ON INDICATOR</w:t>
            </w:r>
            <w:r w:rsidR="00653CE6">
              <w:rPr>
                <w:b/>
                <w:sz w:val="28"/>
                <w:szCs w:val="28"/>
              </w:rPr>
              <w:t>:</w:t>
            </w:r>
          </w:p>
          <w:p w14:paraId="5DE37AED" w14:textId="77777777" w:rsidR="003C7E69" w:rsidRPr="00816589" w:rsidRDefault="003C7E69" w:rsidP="000F4CDF">
            <w:pPr>
              <w:spacing w:after="120" w:line="240" w:lineRule="auto"/>
              <w:rPr>
                <w:sz w:val="24"/>
                <w:szCs w:val="24"/>
              </w:rPr>
            </w:pPr>
            <w:r w:rsidRPr="00816589">
              <w:rPr>
                <w:sz w:val="24"/>
                <w:szCs w:val="24"/>
              </w:rPr>
              <w:t xml:space="preserve">It is anticipated that there will be a continued gradual improvement as learning from review informs and supports service improvement. In particular implementation of national risk assessment tool kit and staff training and development should impact positively. There is some </w:t>
            </w:r>
            <w:r>
              <w:rPr>
                <w:sz w:val="24"/>
                <w:szCs w:val="24"/>
              </w:rPr>
              <w:t xml:space="preserve">risk </w:t>
            </w:r>
            <w:r w:rsidRPr="00816589">
              <w:rPr>
                <w:sz w:val="24"/>
                <w:szCs w:val="24"/>
              </w:rPr>
              <w:t>volatility in this area with low underlying numbers and the potential for a disproportional impact of one or two larger families. This will continue to be an area of scrutiny for the Child Protection Committee</w:t>
            </w:r>
            <w:r>
              <w:rPr>
                <w:sz w:val="24"/>
                <w:szCs w:val="24"/>
              </w:rPr>
              <w:t>.</w:t>
            </w:r>
          </w:p>
          <w:p w14:paraId="38566E2D" w14:textId="77777777" w:rsidR="00C66D88" w:rsidRPr="00794345" w:rsidRDefault="00C66D88" w:rsidP="003D55B4">
            <w:pPr>
              <w:spacing w:after="0" w:line="240" w:lineRule="auto"/>
              <w:rPr>
                <w:rFonts w:ascii="Arial" w:hAnsi="Arial" w:cs="Arial"/>
              </w:rPr>
            </w:pPr>
          </w:p>
        </w:tc>
      </w:tr>
      <w:tr w:rsidR="006452B6" w:rsidRPr="005D65E6" w14:paraId="4A3B11A0" w14:textId="77777777" w:rsidTr="006452B6">
        <w:trPr>
          <w:trHeight w:val="794"/>
          <w:jc w:val="center"/>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3EB88E" w14:textId="77777777" w:rsidR="006452B6" w:rsidRPr="005D65E6" w:rsidRDefault="006452B6" w:rsidP="005D65E6">
            <w:pPr>
              <w:rPr>
                <w:b/>
                <w:sz w:val="32"/>
              </w:rPr>
            </w:pPr>
            <w:r w:rsidRPr="005D65E6">
              <w:rPr>
                <w:b/>
                <w:sz w:val="32"/>
              </w:rPr>
              <w:lastRenderedPageBreak/>
              <w:t>SERVICE: CHILDREN AND FAMILIES</w:t>
            </w:r>
          </w:p>
        </w:tc>
      </w:tr>
      <w:tr w:rsidR="00171D32" w14:paraId="04727725" w14:textId="77777777" w:rsidTr="006452B6">
        <w:trPr>
          <w:trHeight w:val="567"/>
          <w:jc w:val="center"/>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720127F" w14:textId="2835E212" w:rsidR="00171D32" w:rsidRPr="00C562BE" w:rsidRDefault="00171D32" w:rsidP="00B12BC1">
            <w:pPr>
              <w:pStyle w:val="Heading1"/>
              <w:spacing w:before="0" w:line="240" w:lineRule="auto"/>
              <w:rPr>
                <w:b/>
              </w:rPr>
            </w:pPr>
            <w:bookmarkStart w:id="15" w:name="_Toc56757693"/>
            <w:r w:rsidRPr="00C562BE">
              <w:rPr>
                <w:b/>
                <w:color w:val="auto"/>
              </w:rPr>
              <w:t xml:space="preserve">INDICATOR REF: CHN23 - </w:t>
            </w:r>
            <w:r w:rsidR="004F2CC9" w:rsidRPr="00C562BE">
              <w:rPr>
                <w:b/>
                <w:color w:val="auto"/>
              </w:rPr>
              <w:t>Percentage</w:t>
            </w:r>
            <w:r w:rsidRPr="00C562BE">
              <w:rPr>
                <w:b/>
                <w:color w:val="auto"/>
              </w:rPr>
              <w:t xml:space="preserve"> of </w:t>
            </w:r>
            <w:r w:rsidR="004F2CC9" w:rsidRPr="00C562BE">
              <w:rPr>
                <w:b/>
                <w:color w:val="auto"/>
              </w:rPr>
              <w:t>L</w:t>
            </w:r>
            <w:r w:rsidRPr="00C562BE">
              <w:rPr>
                <w:b/>
                <w:color w:val="auto"/>
              </w:rPr>
              <w:t xml:space="preserve">ooked </w:t>
            </w:r>
            <w:proofErr w:type="gramStart"/>
            <w:r w:rsidR="004F2CC9" w:rsidRPr="00C562BE">
              <w:rPr>
                <w:b/>
                <w:color w:val="auto"/>
              </w:rPr>
              <w:t>A</w:t>
            </w:r>
            <w:r w:rsidRPr="00C562BE">
              <w:rPr>
                <w:b/>
                <w:color w:val="auto"/>
              </w:rPr>
              <w:t>fter</w:t>
            </w:r>
            <w:proofErr w:type="gramEnd"/>
            <w:r w:rsidRPr="00C562BE">
              <w:rPr>
                <w:b/>
                <w:color w:val="auto"/>
              </w:rPr>
              <w:t xml:space="preserve"> </w:t>
            </w:r>
            <w:r w:rsidR="004F2CC9" w:rsidRPr="00C562BE">
              <w:rPr>
                <w:b/>
                <w:color w:val="auto"/>
              </w:rPr>
              <w:t>C</w:t>
            </w:r>
            <w:r w:rsidRPr="00C562BE">
              <w:rPr>
                <w:b/>
                <w:color w:val="auto"/>
              </w:rPr>
              <w:t xml:space="preserve">hildren with more than 1 placement in the </w:t>
            </w:r>
            <w:r w:rsidR="006F28B5" w:rsidRPr="00C562BE">
              <w:rPr>
                <w:b/>
                <w:color w:val="auto"/>
              </w:rPr>
              <w:t>last year</w:t>
            </w:r>
            <w:r w:rsidRPr="00C562BE">
              <w:rPr>
                <w:b/>
                <w:color w:val="auto"/>
              </w:rPr>
              <w:t xml:space="preserve"> (Aug-July)</w:t>
            </w:r>
            <w:bookmarkEnd w:id="15"/>
            <w:r w:rsidRPr="00C562BE">
              <w:rPr>
                <w:b/>
                <w:color w:val="auto"/>
              </w:rPr>
              <w:t xml:space="preserve"> </w:t>
            </w:r>
          </w:p>
        </w:tc>
      </w:tr>
      <w:tr w:rsidR="003E452D" w14:paraId="6DE487DF" w14:textId="77777777" w:rsidTr="00C918CA">
        <w:trPr>
          <w:trHeight w:val="454"/>
          <w:jc w:val="center"/>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517439" w14:textId="5FAC4612" w:rsidR="003E452D" w:rsidRDefault="003E452D" w:rsidP="003D55B4">
            <w:pPr>
              <w:spacing w:after="0" w:line="240" w:lineRule="auto"/>
              <w:jc w:val="center"/>
              <w:rPr>
                <w:b/>
                <w:sz w:val="28"/>
                <w:szCs w:val="28"/>
              </w:rPr>
            </w:pPr>
            <w:r w:rsidRPr="00C577BD">
              <w:rPr>
                <w:b/>
                <w:color w:val="0070C0"/>
                <w:sz w:val="28"/>
                <w:szCs w:val="28"/>
              </w:rPr>
              <w:t>Performance Range:</w:t>
            </w:r>
            <w:r w:rsidR="00BE08CC">
              <w:rPr>
                <w:b/>
                <w:color w:val="0070C0"/>
                <w:sz w:val="28"/>
                <w:szCs w:val="28"/>
              </w:rPr>
              <w:t xml:space="preserve"> </w:t>
            </w:r>
            <w:r w:rsidR="00B12BC1">
              <w:rPr>
                <w:b/>
                <w:color w:val="0070C0"/>
                <w:sz w:val="28"/>
                <w:szCs w:val="28"/>
              </w:rPr>
              <w:t>8.12</w:t>
            </w:r>
            <w:r w:rsidR="003D55B4">
              <w:rPr>
                <w:b/>
                <w:color w:val="0070C0"/>
                <w:sz w:val="28"/>
                <w:szCs w:val="28"/>
              </w:rPr>
              <w:t>%</w:t>
            </w:r>
            <w:r w:rsidR="00C562BE">
              <w:rPr>
                <w:b/>
                <w:color w:val="0070C0"/>
                <w:sz w:val="28"/>
                <w:szCs w:val="28"/>
              </w:rPr>
              <w:t xml:space="preserve"> to </w:t>
            </w:r>
            <w:r w:rsidR="00B12BC1">
              <w:rPr>
                <w:b/>
                <w:color w:val="0070C0"/>
                <w:sz w:val="28"/>
                <w:szCs w:val="28"/>
              </w:rPr>
              <w:t>51.28</w:t>
            </w:r>
            <w:r w:rsidR="00C562BE">
              <w:rPr>
                <w:b/>
                <w:color w:val="0070C0"/>
                <w:sz w:val="28"/>
                <w:szCs w:val="28"/>
              </w:rPr>
              <w:t xml:space="preserve">% </w:t>
            </w:r>
            <w:r w:rsidR="003D55B4">
              <w:rPr>
                <w:b/>
                <w:color w:val="0070C0"/>
                <w:sz w:val="28"/>
                <w:szCs w:val="28"/>
              </w:rPr>
              <w:t xml:space="preserve"> </w:t>
            </w:r>
            <w:r w:rsidR="00BE08CC" w:rsidRPr="00BE08CC">
              <w:rPr>
                <w:b/>
                <w:color w:val="0070C0"/>
                <w:sz w:val="28"/>
                <w:szCs w:val="28"/>
              </w:rPr>
              <w:t>(Lowest is best)</w:t>
            </w:r>
          </w:p>
        </w:tc>
      </w:tr>
      <w:tr w:rsidR="00171D32" w14:paraId="04095476" w14:textId="77777777" w:rsidTr="00E83409">
        <w:trPr>
          <w:trHeight w:val="397"/>
          <w:jc w:val="center"/>
        </w:trPr>
        <w:tc>
          <w:tcPr>
            <w:tcW w:w="7366"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33D55B1" w14:textId="77777777" w:rsidR="00171D32" w:rsidRDefault="00171D32" w:rsidP="009A329B">
            <w:pPr>
              <w:spacing w:after="0" w:line="240" w:lineRule="auto"/>
              <w:jc w:val="center"/>
              <w:rPr>
                <w:b/>
                <w:sz w:val="28"/>
                <w:szCs w:val="28"/>
              </w:rPr>
            </w:pPr>
            <w:r>
              <w:rPr>
                <w:b/>
                <w:sz w:val="28"/>
                <w:szCs w:val="28"/>
              </w:rPr>
              <w:t>ARGYLL AND BUTE</w:t>
            </w:r>
          </w:p>
        </w:tc>
        <w:tc>
          <w:tcPr>
            <w:tcW w:w="7943"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30D65DC" w14:textId="77777777" w:rsidR="00171D32" w:rsidRDefault="00171D32" w:rsidP="009A329B">
            <w:pPr>
              <w:spacing w:after="0" w:line="240" w:lineRule="auto"/>
              <w:jc w:val="center"/>
              <w:rPr>
                <w:b/>
                <w:sz w:val="28"/>
                <w:szCs w:val="28"/>
              </w:rPr>
            </w:pPr>
            <w:r>
              <w:rPr>
                <w:b/>
                <w:sz w:val="28"/>
                <w:szCs w:val="28"/>
              </w:rPr>
              <w:t>SCOTLAND</w:t>
            </w:r>
          </w:p>
        </w:tc>
      </w:tr>
      <w:tr w:rsidR="00171D32" w14:paraId="4D04842C" w14:textId="77777777" w:rsidTr="00C918CA">
        <w:trPr>
          <w:trHeight w:val="397"/>
          <w:jc w:val="center"/>
        </w:trPr>
        <w:tc>
          <w:tcPr>
            <w:tcW w:w="73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F9D46F" w14:textId="6F0910EE" w:rsidR="00171D32" w:rsidRPr="002F2A64" w:rsidRDefault="00B12BC1" w:rsidP="009A329B">
            <w:pPr>
              <w:spacing w:after="0" w:line="240" w:lineRule="auto"/>
              <w:jc w:val="center"/>
              <w:rPr>
                <w:b/>
                <w:sz w:val="28"/>
                <w:szCs w:val="28"/>
              </w:rPr>
            </w:pPr>
            <w:r>
              <w:rPr>
                <w:b/>
                <w:sz w:val="28"/>
                <w:szCs w:val="28"/>
              </w:rPr>
              <w:t>18.67</w:t>
            </w:r>
            <w:r w:rsidR="003D55B4">
              <w:rPr>
                <w:b/>
                <w:sz w:val="28"/>
                <w:szCs w:val="28"/>
              </w:rPr>
              <w:t>%</w:t>
            </w:r>
          </w:p>
        </w:tc>
        <w:tc>
          <w:tcPr>
            <w:tcW w:w="79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578E8D" w14:textId="33020350" w:rsidR="00171D32" w:rsidRDefault="00B12BC1" w:rsidP="003D55B4">
            <w:pPr>
              <w:tabs>
                <w:tab w:val="left" w:pos="3243"/>
                <w:tab w:val="center" w:pos="3863"/>
              </w:tabs>
              <w:spacing w:after="0" w:line="240" w:lineRule="auto"/>
              <w:jc w:val="center"/>
              <w:rPr>
                <w:b/>
                <w:sz w:val="28"/>
                <w:szCs w:val="28"/>
              </w:rPr>
            </w:pPr>
            <w:r>
              <w:rPr>
                <w:sz w:val="28"/>
                <w:szCs w:val="28"/>
              </w:rPr>
              <w:t>19.65</w:t>
            </w:r>
            <w:r w:rsidR="003D55B4">
              <w:rPr>
                <w:sz w:val="28"/>
                <w:szCs w:val="28"/>
              </w:rPr>
              <w:t>%</w:t>
            </w:r>
          </w:p>
        </w:tc>
      </w:tr>
      <w:tr w:rsidR="00653CE6" w14:paraId="09490CEA" w14:textId="77777777" w:rsidTr="00C918CA">
        <w:trPr>
          <w:trHeight w:val="397"/>
          <w:jc w:val="center"/>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414F7ABB" w14:textId="366BD942" w:rsidR="00653CE6" w:rsidRPr="002F2A64" w:rsidRDefault="00653CE6" w:rsidP="003D55B4">
            <w:pPr>
              <w:spacing w:after="0" w:line="240" w:lineRule="auto"/>
              <w:jc w:val="center"/>
              <w:rPr>
                <w:b/>
                <w:sz w:val="28"/>
                <w:szCs w:val="28"/>
              </w:rPr>
            </w:pPr>
            <w:r w:rsidRPr="002F2A64">
              <w:rPr>
                <w:b/>
                <w:sz w:val="28"/>
                <w:szCs w:val="28"/>
              </w:rPr>
              <w:t>CHANGE 201</w:t>
            </w:r>
            <w:r w:rsidR="003D55B4">
              <w:rPr>
                <w:b/>
                <w:sz w:val="28"/>
                <w:szCs w:val="28"/>
              </w:rPr>
              <w:t>7</w:t>
            </w:r>
            <w:r w:rsidRPr="002F2A64">
              <w:rPr>
                <w:b/>
                <w:sz w:val="28"/>
                <w:szCs w:val="28"/>
              </w:rPr>
              <w:t>/1</w:t>
            </w:r>
            <w:r w:rsidR="003D55B4">
              <w:rPr>
                <w:b/>
                <w:sz w:val="28"/>
                <w:szCs w:val="28"/>
              </w:rPr>
              <w:t>8</w:t>
            </w:r>
            <w:r w:rsidRPr="002F2A64">
              <w:rPr>
                <w:b/>
                <w:sz w:val="28"/>
                <w:szCs w:val="28"/>
              </w:rPr>
              <w:t xml:space="preserve"> TO 201</w:t>
            </w:r>
            <w:r w:rsidR="003D55B4">
              <w:rPr>
                <w:b/>
                <w:sz w:val="28"/>
                <w:szCs w:val="28"/>
              </w:rPr>
              <w:t>8</w:t>
            </w:r>
            <w:r w:rsidRPr="002F2A64">
              <w:rPr>
                <w:b/>
                <w:sz w:val="28"/>
                <w:szCs w:val="28"/>
              </w:rPr>
              <w:t>/1</w:t>
            </w:r>
            <w:r w:rsidR="003D55B4">
              <w:rPr>
                <w:b/>
                <w:sz w:val="28"/>
                <w:szCs w:val="28"/>
              </w:rPr>
              <w:t>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241D3F" w14:textId="4166D6CE" w:rsidR="00653CE6" w:rsidRPr="002F2A64" w:rsidRDefault="00B12BC1" w:rsidP="009A329B">
            <w:pPr>
              <w:spacing w:after="0" w:line="240" w:lineRule="auto"/>
              <w:jc w:val="center"/>
              <w:rPr>
                <w:b/>
                <w:sz w:val="28"/>
                <w:szCs w:val="28"/>
              </w:rPr>
            </w:pPr>
            <w:r>
              <w:rPr>
                <w:b/>
                <w:sz w:val="28"/>
                <w:szCs w:val="28"/>
              </w:rPr>
              <w:t>-4.82</w:t>
            </w:r>
            <w:r w:rsidR="00327DD0">
              <w:rPr>
                <w:b/>
                <w:sz w:val="28"/>
                <w:szCs w:val="28"/>
              </w:rPr>
              <w:t xml:space="preserve"> </w:t>
            </w:r>
            <w:r w:rsidR="00327DD0" w:rsidRPr="00EC5E64">
              <w:rPr>
                <w:b/>
                <w:color w:val="00B050"/>
                <w:sz w:val="28"/>
                <w:szCs w:val="28"/>
              </w:rPr>
              <w:sym w:font="Wingdings" w:char="F0EA"/>
            </w:r>
          </w:p>
        </w:tc>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82AE0A" w14:textId="3D44BB59" w:rsidR="00653CE6" w:rsidRPr="00561760" w:rsidRDefault="00653CE6" w:rsidP="003D55B4">
            <w:pPr>
              <w:spacing w:after="0" w:line="240" w:lineRule="auto"/>
              <w:jc w:val="center"/>
              <w:rPr>
                <w:sz w:val="28"/>
                <w:szCs w:val="28"/>
              </w:rPr>
            </w:pPr>
            <w:r>
              <w:rPr>
                <w:sz w:val="28"/>
                <w:szCs w:val="28"/>
              </w:rPr>
              <w:t>CHANGE 201</w:t>
            </w:r>
            <w:r w:rsidR="003D55B4">
              <w:rPr>
                <w:sz w:val="28"/>
                <w:szCs w:val="28"/>
              </w:rPr>
              <w:t>7</w:t>
            </w:r>
            <w:r>
              <w:rPr>
                <w:sz w:val="28"/>
                <w:szCs w:val="28"/>
              </w:rPr>
              <w:t>/1</w:t>
            </w:r>
            <w:r w:rsidR="003D55B4">
              <w:rPr>
                <w:sz w:val="28"/>
                <w:szCs w:val="28"/>
              </w:rPr>
              <w:t>8</w:t>
            </w:r>
            <w:r>
              <w:rPr>
                <w:sz w:val="28"/>
                <w:szCs w:val="28"/>
              </w:rPr>
              <w:t xml:space="preserve"> TO 201</w:t>
            </w:r>
            <w:r w:rsidR="003D55B4">
              <w:rPr>
                <w:sz w:val="28"/>
                <w:szCs w:val="28"/>
              </w:rPr>
              <w:t>8</w:t>
            </w:r>
            <w:r>
              <w:rPr>
                <w:sz w:val="28"/>
                <w:szCs w:val="28"/>
              </w:rPr>
              <w:t>/1</w:t>
            </w:r>
            <w:r w:rsidR="003D55B4">
              <w:rPr>
                <w:sz w:val="28"/>
                <w:szCs w:val="28"/>
              </w:rPr>
              <w:t>9</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0D5B794C" w14:textId="11A48113" w:rsidR="00653CE6" w:rsidRPr="00327DD0" w:rsidRDefault="00327DD0" w:rsidP="009A329B">
            <w:pPr>
              <w:spacing w:after="0" w:line="240" w:lineRule="auto"/>
              <w:jc w:val="center"/>
              <w:rPr>
                <w:sz w:val="28"/>
                <w:szCs w:val="28"/>
              </w:rPr>
            </w:pPr>
            <w:r w:rsidRPr="00327DD0">
              <w:rPr>
                <w:sz w:val="28"/>
                <w:szCs w:val="28"/>
              </w:rPr>
              <w:t>-0.9</w:t>
            </w:r>
            <w:r>
              <w:rPr>
                <w:sz w:val="28"/>
                <w:szCs w:val="28"/>
              </w:rPr>
              <w:t xml:space="preserve"> </w:t>
            </w:r>
            <w:r w:rsidRPr="00EC5E64">
              <w:rPr>
                <w:b/>
                <w:color w:val="00B050"/>
                <w:sz w:val="28"/>
                <w:szCs w:val="28"/>
              </w:rPr>
              <w:sym w:font="Wingdings" w:char="F0EA"/>
            </w:r>
          </w:p>
        </w:tc>
      </w:tr>
      <w:tr w:rsidR="00653CE6" w14:paraId="46831B8A" w14:textId="77777777" w:rsidTr="00C918CA">
        <w:trPr>
          <w:trHeight w:val="397"/>
          <w:jc w:val="center"/>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528123BE" w14:textId="627A8E05" w:rsidR="00653CE6" w:rsidRPr="002F2A64" w:rsidRDefault="00653CE6" w:rsidP="003D55B4">
            <w:pPr>
              <w:spacing w:after="0" w:line="240" w:lineRule="auto"/>
              <w:jc w:val="center"/>
              <w:rPr>
                <w:b/>
                <w:sz w:val="28"/>
                <w:szCs w:val="28"/>
              </w:rPr>
            </w:pPr>
            <w:r w:rsidRPr="002F2A64">
              <w:rPr>
                <w:b/>
                <w:sz w:val="28"/>
                <w:szCs w:val="28"/>
              </w:rPr>
              <w:t>CHANGE BASE YEAR TO 201</w:t>
            </w:r>
            <w:r w:rsidR="003D55B4">
              <w:rPr>
                <w:b/>
                <w:sz w:val="28"/>
                <w:szCs w:val="28"/>
              </w:rPr>
              <w:t>8</w:t>
            </w:r>
            <w:r w:rsidRPr="002F2A64">
              <w:rPr>
                <w:b/>
                <w:sz w:val="28"/>
                <w:szCs w:val="28"/>
              </w:rPr>
              <w:t>/1</w:t>
            </w:r>
            <w:r w:rsidR="003D55B4">
              <w:rPr>
                <w:b/>
                <w:sz w:val="28"/>
                <w:szCs w:val="28"/>
              </w:rPr>
              <w:t>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51118" w14:textId="6434BDA0" w:rsidR="00653CE6" w:rsidRPr="002F2A64" w:rsidRDefault="00B12BC1" w:rsidP="009A329B">
            <w:pPr>
              <w:spacing w:after="0" w:line="240" w:lineRule="auto"/>
              <w:jc w:val="center"/>
              <w:rPr>
                <w:b/>
                <w:sz w:val="28"/>
                <w:szCs w:val="28"/>
              </w:rPr>
            </w:pPr>
            <w:r>
              <w:rPr>
                <w:b/>
                <w:sz w:val="28"/>
                <w:szCs w:val="28"/>
              </w:rPr>
              <w:t>-10.28</w:t>
            </w:r>
            <w:r w:rsidR="00327DD0">
              <w:rPr>
                <w:b/>
                <w:sz w:val="28"/>
                <w:szCs w:val="28"/>
              </w:rPr>
              <w:t xml:space="preserve"> </w:t>
            </w:r>
            <w:r w:rsidR="00327DD0" w:rsidRPr="00EC5E64">
              <w:rPr>
                <w:b/>
                <w:color w:val="00B050"/>
                <w:sz w:val="28"/>
                <w:szCs w:val="28"/>
              </w:rPr>
              <w:sym w:font="Wingdings" w:char="F0EA"/>
            </w:r>
          </w:p>
        </w:tc>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AD9870" w14:textId="10D42A6A" w:rsidR="00653CE6" w:rsidRPr="00561760" w:rsidRDefault="00653CE6" w:rsidP="003D55B4">
            <w:pPr>
              <w:spacing w:after="0" w:line="240" w:lineRule="auto"/>
              <w:jc w:val="center"/>
              <w:rPr>
                <w:sz w:val="28"/>
                <w:szCs w:val="28"/>
              </w:rPr>
            </w:pPr>
            <w:r>
              <w:rPr>
                <w:sz w:val="28"/>
                <w:szCs w:val="28"/>
              </w:rPr>
              <w:t>CHANGE BASE YEAR TO 201</w:t>
            </w:r>
            <w:r w:rsidR="003D55B4">
              <w:rPr>
                <w:sz w:val="28"/>
                <w:szCs w:val="28"/>
              </w:rPr>
              <w:t>8</w:t>
            </w:r>
            <w:r>
              <w:rPr>
                <w:sz w:val="28"/>
                <w:szCs w:val="28"/>
              </w:rPr>
              <w:t>/1</w:t>
            </w:r>
            <w:r w:rsidR="003D55B4">
              <w:rPr>
                <w:sz w:val="28"/>
                <w:szCs w:val="28"/>
              </w:rPr>
              <w:t>9</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39BDEEE8" w14:textId="4BB2F71E" w:rsidR="00653CE6" w:rsidRPr="00327DD0" w:rsidRDefault="00327DD0" w:rsidP="009A329B">
            <w:pPr>
              <w:spacing w:after="0" w:line="240" w:lineRule="auto"/>
              <w:jc w:val="center"/>
              <w:rPr>
                <w:sz w:val="28"/>
                <w:szCs w:val="28"/>
              </w:rPr>
            </w:pPr>
            <w:r w:rsidRPr="00327DD0">
              <w:rPr>
                <w:sz w:val="28"/>
                <w:szCs w:val="28"/>
              </w:rPr>
              <w:t>-1.71</w:t>
            </w:r>
            <w:r>
              <w:rPr>
                <w:sz w:val="28"/>
                <w:szCs w:val="28"/>
              </w:rPr>
              <w:t xml:space="preserve"> </w:t>
            </w:r>
            <w:r w:rsidRPr="00EC5E64">
              <w:rPr>
                <w:b/>
                <w:color w:val="00B050"/>
                <w:sz w:val="28"/>
                <w:szCs w:val="28"/>
              </w:rPr>
              <w:sym w:font="Wingdings" w:char="F0EA"/>
            </w:r>
          </w:p>
        </w:tc>
      </w:tr>
      <w:tr w:rsidR="00653CE6" w14:paraId="6E84DC47" w14:textId="77777777" w:rsidTr="00B318EA">
        <w:trPr>
          <w:trHeight w:val="397"/>
          <w:jc w:val="center"/>
        </w:trPr>
        <w:tc>
          <w:tcPr>
            <w:tcW w:w="73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C44E22" w14:textId="096925DA" w:rsidR="00653CE6" w:rsidRPr="002F2A64" w:rsidRDefault="00653CE6" w:rsidP="003D55B4">
            <w:pPr>
              <w:spacing w:after="0" w:line="240" w:lineRule="auto"/>
              <w:jc w:val="center"/>
              <w:rPr>
                <w:b/>
                <w:sz w:val="28"/>
                <w:szCs w:val="28"/>
              </w:rPr>
            </w:pPr>
            <w:r w:rsidRPr="002F2A64">
              <w:rPr>
                <w:b/>
                <w:sz w:val="28"/>
                <w:szCs w:val="28"/>
              </w:rPr>
              <w:t>RANK POSITION:</w:t>
            </w:r>
            <w:r w:rsidR="00513443">
              <w:rPr>
                <w:b/>
                <w:sz w:val="28"/>
                <w:szCs w:val="28"/>
              </w:rPr>
              <w:t xml:space="preserve">  </w:t>
            </w:r>
            <w:r w:rsidR="00B12BC1">
              <w:rPr>
                <w:b/>
                <w:sz w:val="28"/>
                <w:szCs w:val="28"/>
              </w:rPr>
              <w:t>11</w:t>
            </w:r>
            <w:r w:rsidR="00513443">
              <w:rPr>
                <w:b/>
                <w:sz w:val="28"/>
                <w:szCs w:val="28"/>
              </w:rPr>
              <w:t xml:space="preserve">  </w:t>
            </w:r>
            <w:r w:rsidRPr="002F2A64">
              <w:rPr>
                <w:b/>
                <w:sz w:val="28"/>
                <w:szCs w:val="28"/>
              </w:rPr>
              <w:t>RANK MOVEMENT:</w:t>
            </w:r>
            <w:r w:rsidR="00C562BE">
              <w:rPr>
                <w:b/>
                <w:sz w:val="28"/>
                <w:szCs w:val="28"/>
              </w:rPr>
              <w:t xml:space="preserve"> </w:t>
            </w:r>
            <w:r w:rsidR="00B12BC1">
              <w:rPr>
                <w:b/>
                <w:sz w:val="28"/>
                <w:szCs w:val="28"/>
              </w:rPr>
              <w:t>4</w:t>
            </w:r>
            <w:r w:rsidR="00327DD0">
              <w:rPr>
                <w:b/>
                <w:sz w:val="28"/>
                <w:szCs w:val="28"/>
              </w:rPr>
              <w:t xml:space="preserve"> </w:t>
            </w:r>
            <w:r w:rsidR="00327DD0" w:rsidRPr="00EC5E64">
              <w:rPr>
                <w:b/>
                <w:color w:val="00B050"/>
                <w:sz w:val="28"/>
                <w:szCs w:val="28"/>
              </w:rPr>
              <w:sym w:font="Wingdings" w:char="F0E9"/>
            </w:r>
          </w:p>
        </w:tc>
        <w:tc>
          <w:tcPr>
            <w:tcW w:w="7943"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3BF62F64" w14:textId="77777777" w:rsidR="00653CE6" w:rsidRPr="00561760" w:rsidRDefault="00653CE6" w:rsidP="009A329B">
            <w:pPr>
              <w:spacing w:after="0" w:line="240" w:lineRule="auto"/>
              <w:rPr>
                <w:sz w:val="28"/>
                <w:szCs w:val="28"/>
              </w:rPr>
            </w:pPr>
          </w:p>
        </w:tc>
      </w:tr>
      <w:tr w:rsidR="00C562BE" w14:paraId="50203E61" w14:textId="77777777" w:rsidTr="00B318EA">
        <w:trPr>
          <w:trHeight w:val="397"/>
          <w:jc w:val="center"/>
        </w:trPr>
        <w:tc>
          <w:tcPr>
            <w:tcW w:w="7366" w:type="dxa"/>
            <w:gridSpan w:val="3"/>
            <w:tcBorders>
              <w:top w:val="single" w:sz="4" w:space="0" w:color="auto"/>
              <w:left w:val="single" w:sz="4" w:space="0" w:color="auto"/>
              <w:right w:val="single" w:sz="4" w:space="0" w:color="auto"/>
            </w:tcBorders>
            <w:shd w:val="clear" w:color="auto" w:fill="D9E2F3" w:themeFill="accent5" w:themeFillTint="33"/>
            <w:vAlign w:val="center"/>
          </w:tcPr>
          <w:p w14:paraId="7A037E89" w14:textId="54D48933" w:rsidR="00C562BE" w:rsidRPr="002F2A64" w:rsidRDefault="00C918CA" w:rsidP="003D55B4">
            <w:pPr>
              <w:spacing w:after="0" w:line="240" w:lineRule="auto"/>
              <w:jc w:val="center"/>
              <w:rPr>
                <w:b/>
                <w:sz w:val="28"/>
                <w:szCs w:val="28"/>
              </w:rPr>
            </w:pPr>
            <w:r>
              <w:rPr>
                <w:b/>
                <w:sz w:val="28"/>
                <w:szCs w:val="28"/>
              </w:rPr>
              <w:t>FAMILY GROUP RANKING 201</w:t>
            </w:r>
            <w:r w:rsidR="003D55B4">
              <w:rPr>
                <w:b/>
                <w:sz w:val="28"/>
                <w:szCs w:val="28"/>
              </w:rPr>
              <w:t>8</w:t>
            </w:r>
            <w:r>
              <w:rPr>
                <w:b/>
                <w:sz w:val="28"/>
                <w:szCs w:val="28"/>
              </w:rPr>
              <w:t>/1</w:t>
            </w:r>
            <w:r w:rsidR="003D55B4">
              <w:rPr>
                <w:b/>
                <w:sz w:val="28"/>
                <w:szCs w:val="28"/>
              </w:rPr>
              <w:t>9</w:t>
            </w:r>
            <w:r>
              <w:rPr>
                <w:b/>
                <w:sz w:val="28"/>
                <w:szCs w:val="28"/>
              </w:rPr>
              <w:t xml:space="preserve"> </w:t>
            </w:r>
          </w:p>
        </w:tc>
        <w:tc>
          <w:tcPr>
            <w:tcW w:w="7943" w:type="dxa"/>
            <w:gridSpan w:val="3"/>
            <w:tcBorders>
              <w:left w:val="single" w:sz="4" w:space="0" w:color="auto"/>
              <w:right w:val="single" w:sz="4" w:space="0" w:color="auto"/>
            </w:tcBorders>
            <w:shd w:val="clear" w:color="auto" w:fill="D9D9D9" w:themeFill="background1" w:themeFillShade="D9"/>
            <w:vAlign w:val="center"/>
          </w:tcPr>
          <w:p w14:paraId="731A3997" w14:textId="77777777" w:rsidR="00C562BE" w:rsidRPr="00561760" w:rsidRDefault="00C562BE" w:rsidP="009A329B">
            <w:pPr>
              <w:spacing w:after="0" w:line="240" w:lineRule="auto"/>
              <w:rPr>
                <w:sz w:val="28"/>
                <w:szCs w:val="28"/>
              </w:rPr>
            </w:pPr>
          </w:p>
        </w:tc>
      </w:tr>
      <w:tr w:rsidR="00C918CA" w14:paraId="287B0BB6" w14:textId="77777777" w:rsidTr="00B318EA">
        <w:trPr>
          <w:trHeight w:val="397"/>
          <w:jc w:val="center"/>
        </w:trPr>
        <w:tc>
          <w:tcPr>
            <w:tcW w:w="7366" w:type="dxa"/>
            <w:gridSpan w:val="3"/>
            <w:tcBorders>
              <w:left w:val="single" w:sz="4" w:space="0" w:color="auto"/>
              <w:bottom w:val="single" w:sz="4" w:space="0" w:color="auto"/>
              <w:right w:val="single" w:sz="4" w:space="0" w:color="auto"/>
            </w:tcBorders>
            <w:shd w:val="clear" w:color="auto" w:fill="D9E2F3" w:themeFill="accent5" w:themeFillTint="33"/>
            <w:vAlign w:val="center"/>
          </w:tcPr>
          <w:p w14:paraId="0005F811" w14:textId="21680B37" w:rsidR="00C918CA" w:rsidRDefault="00C918CA" w:rsidP="003D55B4">
            <w:pPr>
              <w:spacing w:after="0" w:line="240" w:lineRule="auto"/>
              <w:jc w:val="center"/>
              <w:rPr>
                <w:b/>
                <w:sz w:val="28"/>
                <w:szCs w:val="28"/>
              </w:rPr>
            </w:pPr>
            <w:r>
              <w:rPr>
                <w:b/>
                <w:sz w:val="28"/>
                <w:szCs w:val="28"/>
              </w:rPr>
              <w:t>RANK POSITION</w:t>
            </w:r>
            <w:r w:rsidR="00265341">
              <w:rPr>
                <w:b/>
                <w:sz w:val="28"/>
                <w:szCs w:val="28"/>
              </w:rPr>
              <w:t>:</w:t>
            </w:r>
            <w:r w:rsidR="00FD1CF1">
              <w:rPr>
                <w:b/>
                <w:sz w:val="28"/>
                <w:szCs w:val="28"/>
              </w:rPr>
              <w:t xml:space="preserve">  </w:t>
            </w:r>
            <w:r w:rsidR="00B12BC1">
              <w:rPr>
                <w:b/>
                <w:sz w:val="28"/>
                <w:szCs w:val="28"/>
              </w:rPr>
              <w:t>4</w:t>
            </w:r>
            <w:r w:rsidR="00FD1CF1">
              <w:rPr>
                <w:b/>
                <w:sz w:val="28"/>
                <w:szCs w:val="28"/>
              </w:rPr>
              <w:t xml:space="preserve">  R</w:t>
            </w:r>
            <w:r>
              <w:rPr>
                <w:b/>
                <w:sz w:val="28"/>
                <w:szCs w:val="28"/>
              </w:rPr>
              <w:t>ANK MOVEMENT</w:t>
            </w:r>
            <w:r w:rsidR="00265341">
              <w:rPr>
                <w:b/>
                <w:sz w:val="28"/>
                <w:szCs w:val="28"/>
              </w:rPr>
              <w:t>:</w:t>
            </w:r>
            <w:r>
              <w:rPr>
                <w:b/>
                <w:sz w:val="28"/>
                <w:szCs w:val="28"/>
              </w:rPr>
              <w:t xml:space="preserve"> </w:t>
            </w:r>
            <w:r w:rsidR="00B12BC1">
              <w:rPr>
                <w:b/>
                <w:sz w:val="28"/>
                <w:szCs w:val="28"/>
              </w:rPr>
              <w:t>0</w:t>
            </w:r>
            <w:r w:rsidR="00327DD0">
              <w:rPr>
                <w:b/>
                <w:sz w:val="28"/>
                <w:szCs w:val="28"/>
              </w:rPr>
              <w:t xml:space="preserve"> </w:t>
            </w:r>
            <w:r w:rsidR="00327DD0" w:rsidRPr="00A83E3B">
              <w:rPr>
                <w:b/>
                <w:color w:val="0070C0"/>
                <w:sz w:val="28"/>
                <w:szCs w:val="28"/>
              </w:rPr>
              <w:sym w:font="Wingdings" w:char="F0E8"/>
            </w:r>
          </w:p>
        </w:tc>
        <w:tc>
          <w:tcPr>
            <w:tcW w:w="7943"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000A5C14" w14:textId="77777777" w:rsidR="00C918CA" w:rsidRPr="00561760" w:rsidRDefault="00C918CA" w:rsidP="009A329B">
            <w:pPr>
              <w:spacing w:after="0" w:line="240" w:lineRule="auto"/>
              <w:rPr>
                <w:sz w:val="28"/>
                <w:szCs w:val="28"/>
              </w:rPr>
            </w:pPr>
          </w:p>
        </w:tc>
      </w:tr>
      <w:tr w:rsidR="00653CE6" w14:paraId="16137D1E" w14:textId="77777777" w:rsidTr="00C562BE">
        <w:trPr>
          <w:jc w:val="center"/>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tcPr>
          <w:p w14:paraId="137D1F34" w14:textId="77777777" w:rsidR="00C918CA" w:rsidRPr="00C918CA" w:rsidRDefault="00C918CA" w:rsidP="009A329B">
            <w:pPr>
              <w:spacing w:after="0" w:line="240" w:lineRule="auto"/>
              <w:rPr>
                <w:sz w:val="6"/>
                <w:szCs w:val="6"/>
              </w:rPr>
            </w:pPr>
          </w:p>
          <w:p w14:paraId="4222C1EE" w14:textId="77777777" w:rsidR="00653CE6" w:rsidRDefault="00653CE6" w:rsidP="000F4CDF">
            <w:pPr>
              <w:spacing w:after="120" w:line="240" w:lineRule="auto"/>
              <w:rPr>
                <w:b/>
                <w:sz w:val="28"/>
                <w:szCs w:val="28"/>
              </w:rPr>
            </w:pPr>
            <w:r>
              <w:rPr>
                <w:b/>
                <w:sz w:val="28"/>
                <w:szCs w:val="28"/>
              </w:rPr>
              <w:t>TELLING OUR STORY</w:t>
            </w:r>
            <w:r w:rsidRPr="00F16CDA">
              <w:rPr>
                <w:b/>
                <w:sz w:val="28"/>
                <w:szCs w:val="28"/>
              </w:rPr>
              <w:t>:</w:t>
            </w:r>
          </w:p>
          <w:p w14:paraId="41F75CA3" w14:textId="49A9AFC2" w:rsidR="003E0B34" w:rsidRPr="001453C3" w:rsidRDefault="003E0B34" w:rsidP="000F4CDF">
            <w:pPr>
              <w:spacing w:after="120" w:line="240" w:lineRule="auto"/>
              <w:rPr>
                <w:sz w:val="24"/>
                <w:szCs w:val="24"/>
              </w:rPr>
            </w:pPr>
            <w:r w:rsidRPr="001453C3">
              <w:rPr>
                <w:sz w:val="24"/>
                <w:szCs w:val="24"/>
              </w:rPr>
              <w:t>Performance for this indicator has improved for the second consecutive year.</w:t>
            </w:r>
          </w:p>
          <w:p w14:paraId="149614EA" w14:textId="0A81A41C" w:rsidR="00F0409F" w:rsidRPr="001453C3" w:rsidRDefault="00F0409F" w:rsidP="000F4CDF">
            <w:pPr>
              <w:spacing w:after="120" w:line="240" w:lineRule="auto"/>
              <w:rPr>
                <w:sz w:val="24"/>
                <w:szCs w:val="24"/>
              </w:rPr>
            </w:pPr>
            <w:r w:rsidRPr="001453C3">
              <w:rPr>
                <w:sz w:val="24"/>
                <w:szCs w:val="24"/>
              </w:rPr>
              <w:t>Last year's report predicted improvement in this area with the introduction of Core and Cluster accommodation linked to existing residential houses.</w:t>
            </w:r>
          </w:p>
          <w:p w14:paraId="46D936AE" w14:textId="77777777" w:rsidR="005543B2" w:rsidRPr="00E07175" w:rsidRDefault="005543B2" w:rsidP="003D55B4">
            <w:pPr>
              <w:spacing w:after="0" w:line="240" w:lineRule="auto"/>
              <w:rPr>
                <w:rFonts w:ascii="Arial" w:hAnsi="Arial" w:cs="Arial"/>
                <w:szCs w:val="24"/>
              </w:rPr>
            </w:pPr>
          </w:p>
        </w:tc>
      </w:tr>
      <w:tr w:rsidR="003D55B4" w14:paraId="44D67C88" w14:textId="77777777" w:rsidTr="00C562BE">
        <w:trPr>
          <w:jc w:val="center"/>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tcPr>
          <w:p w14:paraId="3BC7D9AB" w14:textId="0CADEE2B" w:rsidR="003D55B4" w:rsidRPr="003D55B4" w:rsidRDefault="003D55B4" w:rsidP="009A329B">
            <w:pPr>
              <w:spacing w:after="0" w:line="240" w:lineRule="auto"/>
              <w:rPr>
                <w:sz w:val="6"/>
                <w:szCs w:val="6"/>
              </w:rPr>
            </w:pPr>
          </w:p>
          <w:p w14:paraId="7CF63721" w14:textId="500151DE" w:rsidR="003D55B4" w:rsidRPr="003D55B4" w:rsidRDefault="003D55B4" w:rsidP="000F4CDF">
            <w:pPr>
              <w:spacing w:after="120" w:line="240" w:lineRule="auto"/>
              <w:rPr>
                <w:b/>
                <w:sz w:val="28"/>
              </w:rPr>
            </w:pPr>
            <w:r>
              <w:rPr>
                <w:b/>
                <w:sz w:val="28"/>
              </w:rPr>
              <w:t>LOOKING FORWARD - EXPECTED IMPACT ON INDICATOR</w:t>
            </w:r>
            <w:r w:rsidRPr="003D55B4">
              <w:rPr>
                <w:b/>
                <w:sz w:val="28"/>
              </w:rPr>
              <w:t>:</w:t>
            </w:r>
          </w:p>
          <w:p w14:paraId="5D0BA482" w14:textId="77777777" w:rsidR="003C7E69" w:rsidRPr="00816589" w:rsidRDefault="003C7E69" w:rsidP="000F4CDF">
            <w:pPr>
              <w:spacing w:after="120" w:line="240" w:lineRule="auto"/>
              <w:rPr>
                <w:sz w:val="24"/>
                <w:szCs w:val="24"/>
              </w:rPr>
            </w:pPr>
            <w:r w:rsidRPr="00816589">
              <w:rPr>
                <w:sz w:val="24"/>
                <w:szCs w:val="24"/>
              </w:rPr>
              <w:t>We are optimistic that there will be continued improvement in this area resulting from ongoing improvements in fostering and residential services and in planned work to improve permanence planning for care experienced children</w:t>
            </w:r>
            <w:r>
              <w:rPr>
                <w:sz w:val="24"/>
                <w:szCs w:val="24"/>
              </w:rPr>
              <w:t xml:space="preserve"> through the PACE programme</w:t>
            </w:r>
            <w:r w:rsidRPr="00816589">
              <w:rPr>
                <w:sz w:val="24"/>
                <w:szCs w:val="24"/>
              </w:rPr>
              <w:t xml:space="preserve">.  </w:t>
            </w:r>
          </w:p>
          <w:p w14:paraId="6B76BA50" w14:textId="77777777" w:rsidR="003D55B4" w:rsidRPr="003D55B4" w:rsidRDefault="003D55B4" w:rsidP="009A329B">
            <w:pPr>
              <w:spacing w:after="0" w:line="240" w:lineRule="auto"/>
            </w:pPr>
          </w:p>
        </w:tc>
      </w:tr>
    </w:tbl>
    <w:p w14:paraId="2ACD397D" w14:textId="77777777" w:rsidR="003D55B4" w:rsidRDefault="003D55B4">
      <w:r>
        <w:br w:type="page"/>
      </w:r>
    </w:p>
    <w:p w14:paraId="3DF06391" w14:textId="438623EA" w:rsidR="00365C5A" w:rsidRPr="002D0E83" w:rsidRDefault="00473295" w:rsidP="009A329B">
      <w:pPr>
        <w:pStyle w:val="Heading2"/>
        <w:spacing w:before="0" w:line="240" w:lineRule="auto"/>
        <w:jc w:val="center"/>
        <w:rPr>
          <w:b/>
          <w:color w:val="auto"/>
          <w:sz w:val="52"/>
          <w:szCs w:val="52"/>
        </w:rPr>
      </w:pPr>
      <w:bookmarkStart w:id="16" w:name="_Toc56757694"/>
      <w:r>
        <w:rPr>
          <w:b/>
          <w:color w:val="auto"/>
          <w:sz w:val="52"/>
          <w:szCs w:val="52"/>
        </w:rPr>
        <w:lastRenderedPageBreak/>
        <w:t>FINANCIAL SERVICES</w:t>
      </w:r>
      <w:bookmarkEnd w:id="16"/>
    </w:p>
    <w:p w14:paraId="4A28952E" w14:textId="77777777" w:rsidR="00365C5A" w:rsidRDefault="00365C5A" w:rsidP="009A329B">
      <w:pPr>
        <w:spacing w:after="0" w:line="240" w:lineRule="auto"/>
        <w:rPr>
          <w:b/>
          <w:sz w:val="28"/>
          <w:szCs w:val="28"/>
        </w:rPr>
      </w:pPr>
    </w:p>
    <w:tbl>
      <w:tblPr>
        <w:tblW w:w="15309" w:type="dxa"/>
        <w:jc w:val="center"/>
        <w:tblLook w:val="04A0" w:firstRow="1" w:lastRow="0" w:firstColumn="1" w:lastColumn="0" w:noHBand="0" w:noVBand="1"/>
      </w:tblPr>
      <w:tblGrid>
        <w:gridCol w:w="5665"/>
        <w:gridCol w:w="1701"/>
        <w:gridCol w:w="6237"/>
        <w:gridCol w:w="1706"/>
      </w:tblGrid>
      <w:tr w:rsidR="006452B6" w:rsidRPr="005D65E6" w14:paraId="3BA1E769" w14:textId="77777777" w:rsidTr="006452B6">
        <w:trPr>
          <w:trHeight w:val="79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11EFE7F2" w14:textId="1DEB77A7" w:rsidR="006452B6" w:rsidRPr="005D65E6" w:rsidRDefault="006452B6" w:rsidP="00473295">
            <w:pPr>
              <w:rPr>
                <w:b/>
                <w:sz w:val="32"/>
              </w:rPr>
            </w:pPr>
            <w:r w:rsidRPr="005D65E6">
              <w:rPr>
                <w:b/>
                <w:sz w:val="32"/>
              </w:rPr>
              <w:t xml:space="preserve">SERVICE: </w:t>
            </w:r>
            <w:r w:rsidR="00473295">
              <w:rPr>
                <w:b/>
                <w:sz w:val="32"/>
              </w:rPr>
              <w:t>FINANCIAL SERVICES</w:t>
            </w:r>
          </w:p>
        </w:tc>
      </w:tr>
      <w:tr w:rsidR="00365C5A" w:rsidRPr="00396455" w14:paraId="651CD810" w14:textId="77777777" w:rsidTr="006F20EA">
        <w:trPr>
          <w:trHeight w:val="567"/>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4D377F56" w14:textId="77777777" w:rsidR="00365C5A" w:rsidRPr="00396455" w:rsidRDefault="00365C5A" w:rsidP="009A329B">
            <w:pPr>
              <w:pStyle w:val="Heading1"/>
              <w:spacing w:before="0" w:line="240" w:lineRule="auto"/>
              <w:rPr>
                <w:b/>
                <w:color w:val="auto"/>
              </w:rPr>
            </w:pPr>
            <w:bookmarkStart w:id="17" w:name="_Toc56757695"/>
            <w:r w:rsidRPr="00396455">
              <w:rPr>
                <w:b/>
                <w:color w:val="auto"/>
              </w:rPr>
              <w:t>INDICATOR REF: CORP 4 - The cost per dwelling of collecting Council Tax</w:t>
            </w:r>
            <w:bookmarkEnd w:id="17"/>
            <w:r w:rsidR="00E10B0A" w:rsidRPr="00396455">
              <w:rPr>
                <w:b/>
                <w:color w:val="auto"/>
              </w:rPr>
              <w:t xml:space="preserve"> </w:t>
            </w:r>
          </w:p>
        </w:tc>
      </w:tr>
      <w:tr w:rsidR="003E452D" w14:paraId="0C2CBC11" w14:textId="77777777" w:rsidTr="006F20EA">
        <w:trPr>
          <w:trHeight w:val="45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1E99C524" w14:textId="00C4AC01" w:rsidR="003E452D" w:rsidRPr="00EF0B20" w:rsidRDefault="00EF0B20" w:rsidP="003D55B4">
            <w:pPr>
              <w:spacing w:after="0" w:line="240" w:lineRule="auto"/>
              <w:jc w:val="center"/>
              <w:rPr>
                <w:b/>
                <w:color w:val="0070C0"/>
                <w:sz w:val="28"/>
                <w:szCs w:val="28"/>
              </w:rPr>
            </w:pPr>
            <w:r>
              <w:rPr>
                <w:b/>
                <w:color w:val="0070C0"/>
                <w:sz w:val="28"/>
                <w:szCs w:val="28"/>
              </w:rPr>
              <w:t xml:space="preserve">Performance Range: </w:t>
            </w:r>
            <w:r w:rsidR="0016449F">
              <w:rPr>
                <w:b/>
                <w:color w:val="0070C0"/>
                <w:sz w:val="28"/>
                <w:szCs w:val="28"/>
              </w:rPr>
              <w:t>£</w:t>
            </w:r>
            <w:r w:rsidR="00B12BC1">
              <w:rPr>
                <w:b/>
                <w:color w:val="0070C0"/>
                <w:sz w:val="28"/>
                <w:szCs w:val="28"/>
              </w:rPr>
              <w:t>3.43</w:t>
            </w:r>
            <w:r w:rsidR="0016449F">
              <w:rPr>
                <w:b/>
                <w:color w:val="0070C0"/>
                <w:sz w:val="28"/>
                <w:szCs w:val="28"/>
              </w:rPr>
              <w:t xml:space="preserve"> to </w:t>
            </w:r>
            <w:r>
              <w:rPr>
                <w:b/>
                <w:color w:val="0070C0"/>
                <w:sz w:val="28"/>
                <w:szCs w:val="28"/>
              </w:rPr>
              <w:t>£</w:t>
            </w:r>
            <w:r w:rsidR="00B12BC1">
              <w:rPr>
                <w:b/>
                <w:color w:val="0070C0"/>
                <w:sz w:val="28"/>
                <w:szCs w:val="28"/>
              </w:rPr>
              <w:t>20.78</w:t>
            </w:r>
            <w:r>
              <w:rPr>
                <w:b/>
                <w:color w:val="0070C0"/>
                <w:sz w:val="28"/>
                <w:szCs w:val="28"/>
              </w:rPr>
              <w:t xml:space="preserve">  </w:t>
            </w:r>
            <w:r w:rsidR="00BE08CC" w:rsidRPr="00BE08CC">
              <w:rPr>
                <w:b/>
                <w:color w:val="0070C0"/>
                <w:sz w:val="28"/>
                <w:szCs w:val="28"/>
              </w:rPr>
              <w:t>(Lowest is best)</w:t>
            </w:r>
          </w:p>
        </w:tc>
      </w:tr>
      <w:tr w:rsidR="00365C5A" w14:paraId="0E2EDD76" w14:textId="77777777" w:rsidTr="00E83409">
        <w:trPr>
          <w:trHeight w:val="397"/>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B377E51" w14:textId="77777777" w:rsidR="00365C5A" w:rsidRDefault="00365C5A" w:rsidP="009A329B">
            <w:pPr>
              <w:spacing w:after="0" w:line="240" w:lineRule="auto"/>
              <w:jc w:val="center"/>
              <w:rPr>
                <w:b/>
                <w:sz w:val="28"/>
                <w:szCs w:val="28"/>
              </w:rPr>
            </w:pPr>
            <w:r>
              <w:rPr>
                <w:b/>
                <w:sz w:val="28"/>
                <w:szCs w:val="28"/>
              </w:rPr>
              <w:t>ARGYLL AND BUTE</w:t>
            </w:r>
          </w:p>
        </w:tc>
        <w:tc>
          <w:tcPr>
            <w:tcW w:w="7943"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AF5AE5D" w14:textId="77777777" w:rsidR="00365C5A" w:rsidRDefault="00365C5A" w:rsidP="009A329B">
            <w:pPr>
              <w:spacing w:after="0" w:line="240" w:lineRule="auto"/>
              <w:jc w:val="center"/>
              <w:rPr>
                <w:b/>
                <w:sz w:val="28"/>
                <w:szCs w:val="28"/>
              </w:rPr>
            </w:pPr>
            <w:r>
              <w:rPr>
                <w:b/>
                <w:sz w:val="28"/>
                <w:szCs w:val="28"/>
              </w:rPr>
              <w:t>SCOTLAND</w:t>
            </w:r>
          </w:p>
        </w:tc>
      </w:tr>
      <w:tr w:rsidR="00365C5A" w14:paraId="25BE5D44" w14:textId="77777777" w:rsidTr="006F20EA">
        <w:trPr>
          <w:trHeight w:val="397"/>
          <w:jc w:val="center"/>
        </w:trPr>
        <w:tc>
          <w:tcPr>
            <w:tcW w:w="7366" w:type="dxa"/>
            <w:gridSpan w:val="2"/>
            <w:tcBorders>
              <w:top w:val="single" w:sz="4" w:space="0" w:color="auto"/>
              <w:left w:val="single" w:sz="4" w:space="0" w:color="auto"/>
              <w:bottom w:val="single" w:sz="4" w:space="0" w:color="auto"/>
              <w:right w:val="single" w:sz="4" w:space="0" w:color="auto"/>
            </w:tcBorders>
            <w:vAlign w:val="center"/>
          </w:tcPr>
          <w:p w14:paraId="36F2A9C5" w14:textId="1407570A" w:rsidR="00365C5A" w:rsidRPr="002F2A64" w:rsidRDefault="003D55B4" w:rsidP="009A329B">
            <w:pPr>
              <w:spacing w:after="0" w:line="240" w:lineRule="auto"/>
              <w:jc w:val="center"/>
              <w:rPr>
                <w:b/>
                <w:sz w:val="28"/>
                <w:szCs w:val="28"/>
              </w:rPr>
            </w:pPr>
            <w:r>
              <w:rPr>
                <w:b/>
                <w:sz w:val="28"/>
                <w:szCs w:val="28"/>
              </w:rPr>
              <w:t>£</w:t>
            </w:r>
            <w:r w:rsidR="00B12BC1">
              <w:rPr>
                <w:b/>
                <w:sz w:val="28"/>
                <w:szCs w:val="28"/>
              </w:rPr>
              <w:t>9.58</w:t>
            </w:r>
          </w:p>
        </w:tc>
        <w:tc>
          <w:tcPr>
            <w:tcW w:w="7943" w:type="dxa"/>
            <w:gridSpan w:val="2"/>
            <w:tcBorders>
              <w:top w:val="single" w:sz="4" w:space="0" w:color="auto"/>
              <w:left w:val="single" w:sz="4" w:space="0" w:color="auto"/>
              <w:bottom w:val="single" w:sz="4" w:space="0" w:color="auto"/>
              <w:right w:val="single" w:sz="4" w:space="0" w:color="auto"/>
            </w:tcBorders>
            <w:vAlign w:val="center"/>
          </w:tcPr>
          <w:p w14:paraId="1667C35C" w14:textId="20623584" w:rsidR="00365C5A" w:rsidRDefault="003D55B4" w:rsidP="009A329B">
            <w:pPr>
              <w:spacing w:after="0" w:line="240" w:lineRule="auto"/>
              <w:jc w:val="center"/>
              <w:rPr>
                <w:b/>
                <w:sz w:val="28"/>
                <w:szCs w:val="28"/>
              </w:rPr>
            </w:pPr>
            <w:r>
              <w:rPr>
                <w:b/>
                <w:sz w:val="28"/>
                <w:szCs w:val="28"/>
              </w:rPr>
              <w:t>£</w:t>
            </w:r>
            <w:r w:rsidR="00B12BC1">
              <w:rPr>
                <w:b/>
                <w:sz w:val="28"/>
                <w:szCs w:val="28"/>
              </w:rPr>
              <w:t>6.92</w:t>
            </w:r>
          </w:p>
        </w:tc>
      </w:tr>
      <w:tr w:rsidR="00653CE6" w14:paraId="5A72141C" w14:textId="77777777" w:rsidTr="006F20EA">
        <w:trPr>
          <w:trHeight w:val="397"/>
          <w:jc w:val="center"/>
        </w:trPr>
        <w:tc>
          <w:tcPr>
            <w:tcW w:w="5665" w:type="dxa"/>
            <w:tcBorders>
              <w:top w:val="single" w:sz="4" w:space="0" w:color="auto"/>
              <w:left w:val="single" w:sz="4" w:space="0" w:color="auto"/>
              <w:bottom w:val="single" w:sz="4" w:space="0" w:color="auto"/>
              <w:right w:val="single" w:sz="4" w:space="0" w:color="auto"/>
            </w:tcBorders>
            <w:vAlign w:val="center"/>
          </w:tcPr>
          <w:p w14:paraId="130CC010" w14:textId="007454B6" w:rsidR="00653CE6" w:rsidRPr="002F2A64" w:rsidRDefault="00653CE6" w:rsidP="003D55B4">
            <w:pPr>
              <w:spacing w:after="0" w:line="240" w:lineRule="auto"/>
              <w:jc w:val="center"/>
              <w:rPr>
                <w:b/>
                <w:sz w:val="28"/>
                <w:szCs w:val="28"/>
              </w:rPr>
            </w:pPr>
            <w:r w:rsidRPr="002F2A64">
              <w:rPr>
                <w:b/>
                <w:sz w:val="28"/>
                <w:szCs w:val="28"/>
              </w:rPr>
              <w:t>CHANGE 201</w:t>
            </w:r>
            <w:r w:rsidR="003D55B4">
              <w:rPr>
                <w:b/>
                <w:sz w:val="28"/>
                <w:szCs w:val="28"/>
              </w:rPr>
              <w:t>7</w:t>
            </w:r>
            <w:r w:rsidRPr="002F2A64">
              <w:rPr>
                <w:b/>
                <w:sz w:val="28"/>
                <w:szCs w:val="28"/>
              </w:rPr>
              <w:t>/1</w:t>
            </w:r>
            <w:r w:rsidR="003D55B4">
              <w:rPr>
                <w:b/>
                <w:sz w:val="28"/>
                <w:szCs w:val="28"/>
              </w:rPr>
              <w:t>8</w:t>
            </w:r>
            <w:r w:rsidRPr="002F2A64">
              <w:rPr>
                <w:b/>
                <w:sz w:val="28"/>
                <w:szCs w:val="28"/>
              </w:rPr>
              <w:t xml:space="preserve"> TO 201</w:t>
            </w:r>
            <w:r w:rsidR="003D55B4">
              <w:rPr>
                <w:b/>
                <w:sz w:val="28"/>
                <w:szCs w:val="28"/>
              </w:rPr>
              <w:t>8</w:t>
            </w:r>
            <w:r w:rsidRPr="002F2A64">
              <w:rPr>
                <w:b/>
                <w:sz w:val="28"/>
                <w:szCs w:val="28"/>
              </w:rPr>
              <w:t>/1</w:t>
            </w:r>
            <w:r w:rsidR="003D55B4">
              <w:rPr>
                <w:b/>
                <w:sz w:val="28"/>
                <w:szCs w:val="28"/>
              </w:rPr>
              <w:t>9</w:t>
            </w:r>
          </w:p>
        </w:tc>
        <w:tc>
          <w:tcPr>
            <w:tcW w:w="1701" w:type="dxa"/>
            <w:tcBorders>
              <w:top w:val="single" w:sz="4" w:space="0" w:color="auto"/>
              <w:left w:val="single" w:sz="4" w:space="0" w:color="auto"/>
              <w:bottom w:val="single" w:sz="4" w:space="0" w:color="auto"/>
              <w:right w:val="single" w:sz="4" w:space="0" w:color="auto"/>
            </w:tcBorders>
            <w:vAlign w:val="center"/>
          </w:tcPr>
          <w:p w14:paraId="6B30EECA" w14:textId="75B41E07" w:rsidR="00653CE6" w:rsidRPr="002F2A64" w:rsidRDefault="00B12BC1" w:rsidP="009A329B">
            <w:pPr>
              <w:spacing w:after="0" w:line="240" w:lineRule="auto"/>
              <w:jc w:val="center"/>
              <w:rPr>
                <w:b/>
                <w:sz w:val="28"/>
                <w:szCs w:val="28"/>
              </w:rPr>
            </w:pPr>
            <w:r>
              <w:rPr>
                <w:b/>
                <w:sz w:val="28"/>
                <w:szCs w:val="28"/>
              </w:rPr>
              <w:t>13.1</w:t>
            </w:r>
            <w:r w:rsidR="003D55B4">
              <w:rPr>
                <w:b/>
                <w:sz w:val="28"/>
                <w:szCs w:val="28"/>
              </w:rPr>
              <w:t>%</w:t>
            </w:r>
            <w:r w:rsidR="00447F05">
              <w:rPr>
                <w:b/>
                <w:sz w:val="28"/>
                <w:szCs w:val="28"/>
              </w:rPr>
              <w:t xml:space="preserve"> </w:t>
            </w:r>
            <w:r w:rsidR="00447F05" w:rsidRPr="00C14931">
              <w:rPr>
                <w:b/>
                <w:color w:val="FF0000"/>
                <w:sz w:val="28"/>
                <w:szCs w:val="28"/>
              </w:rPr>
              <w:sym w:font="Wingdings" w:char="F0E9"/>
            </w:r>
          </w:p>
        </w:tc>
        <w:tc>
          <w:tcPr>
            <w:tcW w:w="6237" w:type="dxa"/>
            <w:tcBorders>
              <w:top w:val="single" w:sz="4" w:space="0" w:color="auto"/>
              <w:left w:val="single" w:sz="4" w:space="0" w:color="auto"/>
              <w:bottom w:val="single" w:sz="4" w:space="0" w:color="auto"/>
              <w:right w:val="single" w:sz="4" w:space="0" w:color="auto"/>
            </w:tcBorders>
            <w:vAlign w:val="center"/>
          </w:tcPr>
          <w:p w14:paraId="4F45B870" w14:textId="12A735E1" w:rsidR="00653CE6" w:rsidRDefault="00653CE6" w:rsidP="003D55B4">
            <w:pPr>
              <w:spacing w:after="0" w:line="240" w:lineRule="auto"/>
              <w:jc w:val="center"/>
              <w:rPr>
                <w:b/>
                <w:sz w:val="28"/>
                <w:szCs w:val="28"/>
              </w:rPr>
            </w:pPr>
            <w:r>
              <w:rPr>
                <w:sz w:val="28"/>
                <w:szCs w:val="28"/>
              </w:rPr>
              <w:t>CHANGE 201</w:t>
            </w:r>
            <w:r w:rsidR="003D55B4">
              <w:rPr>
                <w:sz w:val="28"/>
                <w:szCs w:val="28"/>
              </w:rPr>
              <w:t>7</w:t>
            </w:r>
            <w:r>
              <w:rPr>
                <w:sz w:val="28"/>
                <w:szCs w:val="28"/>
              </w:rPr>
              <w:t>/1</w:t>
            </w:r>
            <w:r w:rsidR="003D55B4">
              <w:rPr>
                <w:sz w:val="28"/>
                <w:szCs w:val="28"/>
              </w:rPr>
              <w:t>8</w:t>
            </w:r>
            <w:r>
              <w:rPr>
                <w:sz w:val="28"/>
                <w:szCs w:val="28"/>
              </w:rPr>
              <w:t xml:space="preserve"> TO 201</w:t>
            </w:r>
            <w:r w:rsidR="003D55B4">
              <w:rPr>
                <w:sz w:val="28"/>
                <w:szCs w:val="28"/>
              </w:rPr>
              <w:t>8</w:t>
            </w:r>
            <w:r>
              <w:rPr>
                <w:sz w:val="28"/>
                <w:szCs w:val="28"/>
              </w:rPr>
              <w:t>/1</w:t>
            </w:r>
            <w:r w:rsidR="003D55B4">
              <w:rPr>
                <w:sz w:val="28"/>
                <w:szCs w:val="28"/>
              </w:rPr>
              <w:t>9</w:t>
            </w:r>
          </w:p>
        </w:tc>
        <w:tc>
          <w:tcPr>
            <w:tcW w:w="1706" w:type="dxa"/>
            <w:tcBorders>
              <w:top w:val="single" w:sz="4" w:space="0" w:color="auto"/>
              <w:left w:val="single" w:sz="4" w:space="0" w:color="auto"/>
              <w:bottom w:val="single" w:sz="4" w:space="0" w:color="auto"/>
              <w:right w:val="single" w:sz="4" w:space="0" w:color="auto"/>
            </w:tcBorders>
            <w:vAlign w:val="center"/>
          </w:tcPr>
          <w:p w14:paraId="40C180AC" w14:textId="2CCB98D8" w:rsidR="00653CE6" w:rsidRPr="00447F05" w:rsidRDefault="00447F05" w:rsidP="009A329B">
            <w:pPr>
              <w:spacing w:after="0" w:line="240" w:lineRule="auto"/>
              <w:jc w:val="center"/>
              <w:rPr>
                <w:sz w:val="28"/>
                <w:szCs w:val="28"/>
              </w:rPr>
            </w:pPr>
            <w:r>
              <w:rPr>
                <w:sz w:val="28"/>
                <w:szCs w:val="28"/>
              </w:rPr>
              <w:t>-7.63</w:t>
            </w:r>
            <w:r w:rsidR="003D55B4" w:rsidRPr="00447F05">
              <w:rPr>
                <w:sz w:val="28"/>
                <w:szCs w:val="28"/>
              </w:rPr>
              <w:t>%</w:t>
            </w:r>
            <w:r>
              <w:rPr>
                <w:sz w:val="28"/>
                <w:szCs w:val="28"/>
              </w:rPr>
              <w:t xml:space="preserve"> </w:t>
            </w:r>
            <w:r w:rsidRPr="00EC5E64">
              <w:rPr>
                <w:b/>
                <w:color w:val="00B050"/>
                <w:sz w:val="28"/>
                <w:szCs w:val="28"/>
              </w:rPr>
              <w:sym w:font="Wingdings" w:char="F0EA"/>
            </w:r>
          </w:p>
        </w:tc>
      </w:tr>
      <w:tr w:rsidR="00653CE6" w14:paraId="5B0E3C18" w14:textId="77777777" w:rsidTr="006F20EA">
        <w:trPr>
          <w:trHeight w:val="397"/>
          <w:jc w:val="center"/>
        </w:trPr>
        <w:tc>
          <w:tcPr>
            <w:tcW w:w="5665" w:type="dxa"/>
            <w:tcBorders>
              <w:top w:val="single" w:sz="4" w:space="0" w:color="auto"/>
              <w:left w:val="single" w:sz="4" w:space="0" w:color="auto"/>
              <w:bottom w:val="single" w:sz="4" w:space="0" w:color="auto"/>
              <w:right w:val="single" w:sz="4" w:space="0" w:color="auto"/>
            </w:tcBorders>
            <w:vAlign w:val="center"/>
          </w:tcPr>
          <w:p w14:paraId="657A56E7" w14:textId="09E26AB7" w:rsidR="00653CE6" w:rsidRPr="002F2A64" w:rsidRDefault="00653CE6" w:rsidP="003D55B4">
            <w:pPr>
              <w:spacing w:after="0" w:line="240" w:lineRule="auto"/>
              <w:jc w:val="center"/>
              <w:rPr>
                <w:b/>
                <w:sz w:val="28"/>
                <w:szCs w:val="28"/>
              </w:rPr>
            </w:pPr>
            <w:r w:rsidRPr="002F2A64">
              <w:rPr>
                <w:b/>
                <w:sz w:val="28"/>
                <w:szCs w:val="28"/>
              </w:rPr>
              <w:t>CHANGE BASE YEAR TO 201</w:t>
            </w:r>
            <w:r w:rsidR="003D55B4">
              <w:rPr>
                <w:b/>
                <w:sz w:val="28"/>
                <w:szCs w:val="28"/>
              </w:rPr>
              <w:t>8</w:t>
            </w:r>
            <w:r w:rsidRPr="002F2A64">
              <w:rPr>
                <w:b/>
                <w:sz w:val="28"/>
                <w:szCs w:val="28"/>
              </w:rPr>
              <w:t>/1</w:t>
            </w:r>
            <w:r w:rsidR="003D55B4">
              <w:rPr>
                <w:b/>
                <w:sz w:val="28"/>
                <w:szCs w:val="28"/>
              </w:rPr>
              <w:t>9</w:t>
            </w:r>
          </w:p>
        </w:tc>
        <w:tc>
          <w:tcPr>
            <w:tcW w:w="1701" w:type="dxa"/>
            <w:tcBorders>
              <w:top w:val="single" w:sz="4" w:space="0" w:color="auto"/>
              <w:left w:val="single" w:sz="4" w:space="0" w:color="auto"/>
              <w:bottom w:val="single" w:sz="4" w:space="0" w:color="auto"/>
              <w:right w:val="single" w:sz="4" w:space="0" w:color="auto"/>
            </w:tcBorders>
            <w:vAlign w:val="center"/>
          </w:tcPr>
          <w:p w14:paraId="2164C8DE" w14:textId="10526FEF" w:rsidR="00653CE6" w:rsidRPr="002F2A64" w:rsidRDefault="00B12BC1" w:rsidP="00B12BC1">
            <w:pPr>
              <w:spacing w:after="0" w:line="240" w:lineRule="auto"/>
              <w:jc w:val="center"/>
              <w:rPr>
                <w:b/>
                <w:sz w:val="28"/>
                <w:szCs w:val="28"/>
              </w:rPr>
            </w:pPr>
            <w:r>
              <w:rPr>
                <w:b/>
                <w:sz w:val="28"/>
                <w:szCs w:val="28"/>
              </w:rPr>
              <w:t>-29.99</w:t>
            </w:r>
            <w:r w:rsidR="003D55B4">
              <w:rPr>
                <w:b/>
                <w:sz w:val="28"/>
                <w:szCs w:val="28"/>
              </w:rPr>
              <w:t>%</w:t>
            </w:r>
            <w:r w:rsidR="00447F05">
              <w:rPr>
                <w:b/>
                <w:sz w:val="28"/>
                <w:szCs w:val="28"/>
              </w:rPr>
              <w:t xml:space="preserve"> </w:t>
            </w:r>
            <w:r w:rsidR="00447F05" w:rsidRPr="00EC5E64">
              <w:rPr>
                <w:b/>
                <w:color w:val="00B050"/>
                <w:sz w:val="28"/>
                <w:szCs w:val="28"/>
              </w:rPr>
              <w:sym w:font="Wingdings" w:char="F0EA"/>
            </w:r>
          </w:p>
        </w:tc>
        <w:tc>
          <w:tcPr>
            <w:tcW w:w="6237" w:type="dxa"/>
            <w:tcBorders>
              <w:top w:val="single" w:sz="4" w:space="0" w:color="auto"/>
              <w:left w:val="single" w:sz="4" w:space="0" w:color="auto"/>
              <w:bottom w:val="single" w:sz="4" w:space="0" w:color="auto"/>
              <w:right w:val="single" w:sz="4" w:space="0" w:color="auto"/>
            </w:tcBorders>
            <w:vAlign w:val="center"/>
          </w:tcPr>
          <w:p w14:paraId="327AA42C" w14:textId="33CAA6F8" w:rsidR="00653CE6" w:rsidRDefault="00653CE6" w:rsidP="003D55B4">
            <w:pPr>
              <w:spacing w:after="0" w:line="240" w:lineRule="auto"/>
              <w:jc w:val="center"/>
              <w:rPr>
                <w:b/>
                <w:sz w:val="28"/>
                <w:szCs w:val="28"/>
              </w:rPr>
            </w:pPr>
            <w:r>
              <w:rPr>
                <w:sz w:val="28"/>
                <w:szCs w:val="28"/>
              </w:rPr>
              <w:t>CHANGE BASE YEAR TO 201</w:t>
            </w:r>
            <w:r w:rsidR="003D55B4">
              <w:rPr>
                <w:sz w:val="28"/>
                <w:szCs w:val="28"/>
              </w:rPr>
              <w:t>8</w:t>
            </w:r>
            <w:r>
              <w:rPr>
                <w:sz w:val="28"/>
                <w:szCs w:val="28"/>
              </w:rPr>
              <w:t>/1</w:t>
            </w:r>
            <w:r w:rsidR="003D55B4">
              <w:rPr>
                <w:sz w:val="28"/>
                <w:szCs w:val="28"/>
              </w:rPr>
              <w:t>9</w:t>
            </w:r>
          </w:p>
        </w:tc>
        <w:tc>
          <w:tcPr>
            <w:tcW w:w="1706" w:type="dxa"/>
            <w:tcBorders>
              <w:top w:val="single" w:sz="4" w:space="0" w:color="auto"/>
              <w:left w:val="single" w:sz="4" w:space="0" w:color="auto"/>
              <w:bottom w:val="single" w:sz="4" w:space="0" w:color="auto"/>
              <w:right w:val="single" w:sz="4" w:space="0" w:color="auto"/>
            </w:tcBorders>
            <w:vAlign w:val="center"/>
          </w:tcPr>
          <w:p w14:paraId="25F8F651" w14:textId="12D744A9" w:rsidR="00653CE6" w:rsidRPr="00447F05" w:rsidRDefault="00447F05" w:rsidP="009A329B">
            <w:pPr>
              <w:spacing w:after="0" w:line="240" w:lineRule="auto"/>
              <w:jc w:val="center"/>
              <w:rPr>
                <w:sz w:val="28"/>
                <w:szCs w:val="28"/>
              </w:rPr>
            </w:pPr>
            <w:r>
              <w:rPr>
                <w:sz w:val="28"/>
                <w:szCs w:val="28"/>
              </w:rPr>
              <w:t>-56.26</w:t>
            </w:r>
            <w:r w:rsidR="003D55B4" w:rsidRPr="00447F05">
              <w:rPr>
                <w:sz w:val="28"/>
                <w:szCs w:val="28"/>
              </w:rPr>
              <w:t>%</w:t>
            </w:r>
            <w:r>
              <w:rPr>
                <w:sz w:val="28"/>
                <w:szCs w:val="28"/>
              </w:rPr>
              <w:t xml:space="preserve"> </w:t>
            </w:r>
            <w:r w:rsidRPr="00EC5E64">
              <w:rPr>
                <w:b/>
                <w:color w:val="00B050"/>
                <w:sz w:val="28"/>
                <w:szCs w:val="28"/>
              </w:rPr>
              <w:sym w:font="Wingdings" w:char="F0EA"/>
            </w:r>
          </w:p>
        </w:tc>
      </w:tr>
      <w:tr w:rsidR="00653CE6" w14:paraId="61CBCF93" w14:textId="77777777" w:rsidTr="00B318EA">
        <w:trPr>
          <w:trHeight w:val="397"/>
          <w:jc w:val="center"/>
        </w:trPr>
        <w:tc>
          <w:tcPr>
            <w:tcW w:w="7366" w:type="dxa"/>
            <w:gridSpan w:val="2"/>
            <w:tcBorders>
              <w:top w:val="single" w:sz="4" w:space="0" w:color="auto"/>
              <w:left w:val="single" w:sz="4" w:space="0" w:color="auto"/>
              <w:bottom w:val="single" w:sz="4" w:space="0" w:color="auto"/>
              <w:right w:val="single" w:sz="4" w:space="0" w:color="auto"/>
            </w:tcBorders>
            <w:vAlign w:val="center"/>
          </w:tcPr>
          <w:p w14:paraId="4C24472D" w14:textId="0A5C3267" w:rsidR="00653CE6" w:rsidRPr="002F2A64" w:rsidRDefault="00653CE6" w:rsidP="003D55B4">
            <w:pPr>
              <w:spacing w:after="0" w:line="240" w:lineRule="auto"/>
              <w:jc w:val="center"/>
              <w:rPr>
                <w:b/>
                <w:sz w:val="28"/>
                <w:szCs w:val="28"/>
              </w:rPr>
            </w:pPr>
            <w:r w:rsidRPr="002F2A64">
              <w:rPr>
                <w:b/>
                <w:sz w:val="28"/>
                <w:szCs w:val="28"/>
              </w:rPr>
              <w:t>RANK POSITION:</w:t>
            </w:r>
            <w:r w:rsidR="00513443" w:rsidRPr="00B12BC1">
              <w:rPr>
                <w:b/>
                <w:sz w:val="28"/>
                <w:szCs w:val="28"/>
              </w:rPr>
              <w:t xml:space="preserve">  </w:t>
            </w:r>
            <w:r w:rsidR="009C5328">
              <w:rPr>
                <w:b/>
                <w:sz w:val="28"/>
                <w:szCs w:val="28"/>
              </w:rPr>
              <w:t>25</w:t>
            </w:r>
            <w:r w:rsidR="00513443" w:rsidRPr="00B12BC1">
              <w:rPr>
                <w:b/>
                <w:sz w:val="28"/>
                <w:szCs w:val="28"/>
              </w:rPr>
              <w:t xml:space="preserve">  </w:t>
            </w:r>
            <w:r w:rsidRPr="002F2A64">
              <w:rPr>
                <w:b/>
                <w:sz w:val="28"/>
                <w:szCs w:val="28"/>
              </w:rPr>
              <w:t xml:space="preserve">RANK MOVEMENT: </w:t>
            </w:r>
            <w:r w:rsidR="00B12BC1">
              <w:rPr>
                <w:b/>
                <w:sz w:val="28"/>
                <w:szCs w:val="28"/>
              </w:rPr>
              <w:t>-4</w:t>
            </w:r>
            <w:r w:rsidR="00447F05">
              <w:rPr>
                <w:b/>
                <w:sz w:val="28"/>
                <w:szCs w:val="28"/>
              </w:rPr>
              <w:t xml:space="preserve"> </w:t>
            </w:r>
            <w:r w:rsidR="00447F05" w:rsidRPr="00C14931">
              <w:rPr>
                <w:b/>
                <w:color w:val="FF0000"/>
                <w:sz w:val="28"/>
                <w:szCs w:val="28"/>
              </w:rPr>
              <w:sym w:font="Wingdings" w:char="F0EA"/>
            </w:r>
          </w:p>
        </w:tc>
        <w:tc>
          <w:tcPr>
            <w:tcW w:w="794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26CB56C0" w14:textId="77777777" w:rsidR="00653CE6" w:rsidRPr="00561760" w:rsidRDefault="00653CE6" w:rsidP="009A329B">
            <w:pPr>
              <w:spacing w:after="0" w:line="240" w:lineRule="auto"/>
              <w:rPr>
                <w:sz w:val="28"/>
                <w:szCs w:val="28"/>
              </w:rPr>
            </w:pPr>
          </w:p>
        </w:tc>
      </w:tr>
      <w:tr w:rsidR="00396455" w14:paraId="52FCF1A2" w14:textId="77777777" w:rsidTr="00B318EA">
        <w:trPr>
          <w:trHeight w:val="397"/>
          <w:jc w:val="center"/>
        </w:trPr>
        <w:tc>
          <w:tcPr>
            <w:tcW w:w="7366"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62E733B6" w14:textId="069414CC" w:rsidR="00396455" w:rsidRPr="002F2A64" w:rsidRDefault="006F20EA" w:rsidP="003D55B4">
            <w:pPr>
              <w:spacing w:after="0" w:line="240" w:lineRule="auto"/>
              <w:jc w:val="center"/>
              <w:rPr>
                <w:b/>
                <w:sz w:val="28"/>
                <w:szCs w:val="28"/>
              </w:rPr>
            </w:pPr>
            <w:r>
              <w:rPr>
                <w:b/>
                <w:sz w:val="28"/>
                <w:szCs w:val="28"/>
              </w:rPr>
              <w:t>FAMILY GROUP RANKING 201</w:t>
            </w:r>
            <w:r w:rsidR="003D55B4">
              <w:rPr>
                <w:b/>
                <w:sz w:val="28"/>
                <w:szCs w:val="28"/>
              </w:rPr>
              <w:t>8</w:t>
            </w:r>
            <w:r>
              <w:rPr>
                <w:b/>
                <w:sz w:val="28"/>
                <w:szCs w:val="28"/>
              </w:rPr>
              <w:t>/1</w:t>
            </w:r>
            <w:r w:rsidR="003D55B4">
              <w:rPr>
                <w:b/>
                <w:sz w:val="28"/>
                <w:szCs w:val="28"/>
              </w:rPr>
              <w:t>9</w:t>
            </w:r>
          </w:p>
        </w:tc>
        <w:tc>
          <w:tcPr>
            <w:tcW w:w="7943" w:type="dxa"/>
            <w:gridSpan w:val="2"/>
            <w:tcBorders>
              <w:left w:val="single" w:sz="4" w:space="0" w:color="auto"/>
              <w:right w:val="single" w:sz="4" w:space="0" w:color="auto"/>
            </w:tcBorders>
            <w:shd w:val="clear" w:color="auto" w:fill="D9D9D9" w:themeFill="background1" w:themeFillShade="D9"/>
            <w:vAlign w:val="center"/>
          </w:tcPr>
          <w:p w14:paraId="5AB7A9E1" w14:textId="77777777" w:rsidR="00396455" w:rsidRPr="00561760" w:rsidRDefault="00396455" w:rsidP="009A329B">
            <w:pPr>
              <w:spacing w:after="0" w:line="240" w:lineRule="auto"/>
              <w:rPr>
                <w:sz w:val="28"/>
                <w:szCs w:val="28"/>
              </w:rPr>
            </w:pPr>
          </w:p>
        </w:tc>
      </w:tr>
      <w:tr w:rsidR="006F20EA" w14:paraId="6810FF1B" w14:textId="77777777" w:rsidTr="00B318EA">
        <w:trPr>
          <w:trHeight w:val="397"/>
          <w:jc w:val="center"/>
        </w:trPr>
        <w:tc>
          <w:tcPr>
            <w:tcW w:w="7366" w:type="dxa"/>
            <w:gridSpan w:val="2"/>
            <w:tcBorders>
              <w:left w:val="single" w:sz="4" w:space="0" w:color="auto"/>
              <w:bottom w:val="single" w:sz="4" w:space="0" w:color="auto"/>
              <w:right w:val="single" w:sz="4" w:space="0" w:color="auto"/>
            </w:tcBorders>
            <w:shd w:val="clear" w:color="auto" w:fill="D9E2F3" w:themeFill="accent5" w:themeFillTint="33"/>
            <w:vAlign w:val="center"/>
          </w:tcPr>
          <w:p w14:paraId="4CCEA5F9" w14:textId="44709754" w:rsidR="006F20EA" w:rsidRDefault="006F20EA" w:rsidP="007B47F9">
            <w:pPr>
              <w:spacing w:after="0" w:line="240" w:lineRule="auto"/>
              <w:jc w:val="center"/>
              <w:rPr>
                <w:b/>
                <w:sz w:val="28"/>
                <w:szCs w:val="28"/>
              </w:rPr>
            </w:pPr>
            <w:r>
              <w:rPr>
                <w:b/>
                <w:sz w:val="28"/>
                <w:szCs w:val="28"/>
              </w:rPr>
              <w:t>RANK POSITION:</w:t>
            </w:r>
            <w:r w:rsidR="00FD1CF1">
              <w:rPr>
                <w:b/>
                <w:sz w:val="28"/>
                <w:szCs w:val="28"/>
              </w:rPr>
              <w:t xml:space="preserve">  </w:t>
            </w:r>
            <w:r w:rsidR="007B47F9">
              <w:rPr>
                <w:b/>
                <w:sz w:val="28"/>
                <w:szCs w:val="28"/>
              </w:rPr>
              <w:t>5</w:t>
            </w:r>
            <w:r w:rsidR="00FD1CF1">
              <w:rPr>
                <w:b/>
                <w:sz w:val="28"/>
                <w:szCs w:val="28"/>
              </w:rPr>
              <w:t xml:space="preserve">  </w:t>
            </w:r>
            <w:r>
              <w:rPr>
                <w:b/>
                <w:sz w:val="28"/>
                <w:szCs w:val="28"/>
              </w:rPr>
              <w:t xml:space="preserve">RANK MOVEMENT: </w:t>
            </w:r>
            <w:r w:rsidR="00B12BC1">
              <w:rPr>
                <w:b/>
                <w:sz w:val="28"/>
                <w:szCs w:val="28"/>
              </w:rPr>
              <w:t>-</w:t>
            </w:r>
            <w:r w:rsidR="007B47F9">
              <w:rPr>
                <w:b/>
                <w:sz w:val="28"/>
                <w:szCs w:val="28"/>
              </w:rPr>
              <w:t>2</w:t>
            </w:r>
            <w:r w:rsidR="00447F05">
              <w:rPr>
                <w:b/>
                <w:sz w:val="28"/>
                <w:szCs w:val="28"/>
              </w:rPr>
              <w:t xml:space="preserve"> </w:t>
            </w:r>
            <w:r w:rsidR="00447F05" w:rsidRPr="00C14931">
              <w:rPr>
                <w:b/>
                <w:color w:val="FF0000"/>
                <w:sz w:val="28"/>
                <w:szCs w:val="28"/>
              </w:rPr>
              <w:sym w:font="Wingdings" w:char="F0EA"/>
            </w:r>
          </w:p>
        </w:tc>
        <w:tc>
          <w:tcPr>
            <w:tcW w:w="7943"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2EC21E4B" w14:textId="77777777" w:rsidR="006F20EA" w:rsidRPr="00561760" w:rsidRDefault="006F20EA" w:rsidP="009A329B">
            <w:pPr>
              <w:spacing w:after="0" w:line="240" w:lineRule="auto"/>
              <w:rPr>
                <w:sz w:val="28"/>
                <w:szCs w:val="28"/>
              </w:rPr>
            </w:pPr>
          </w:p>
        </w:tc>
      </w:tr>
      <w:tr w:rsidR="00653CE6" w14:paraId="741A1AF4" w14:textId="77777777" w:rsidTr="009838CD">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6F17A32B" w14:textId="118D0D10" w:rsidR="006F20EA" w:rsidRPr="006F20EA" w:rsidRDefault="006F20EA" w:rsidP="009A329B">
            <w:pPr>
              <w:spacing w:after="0" w:line="240" w:lineRule="auto"/>
              <w:rPr>
                <w:sz w:val="6"/>
                <w:szCs w:val="6"/>
              </w:rPr>
            </w:pPr>
          </w:p>
          <w:p w14:paraId="78DBAC31" w14:textId="77777777" w:rsidR="00653CE6" w:rsidRPr="00F16CDA" w:rsidRDefault="00653CE6" w:rsidP="000F4CDF">
            <w:pPr>
              <w:spacing w:after="120" w:line="240" w:lineRule="auto"/>
              <w:rPr>
                <w:b/>
                <w:sz w:val="28"/>
                <w:szCs w:val="28"/>
              </w:rPr>
            </w:pPr>
            <w:r>
              <w:rPr>
                <w:b/>
                <w:sz w:val="28"/>
                <w:szCs w:val="28"/>
              </w:rPr>
              <w:t>TELLING OUR STORY</w:t>
            </w:r>
            <w:r w:rsidRPr="00F16CDA">
              <w:rPr>
                <w:b/>
                <w:sz w:val="28"/>
                <w:szCs w:val="28"/>
              </w:rPr>
              <w:t>:</w:t>
            </w:r>
          </w:p>
          <w:p w14:paraId="0D8A6522" w14:textId="34C1E193" w:rsidR="009C5328" w:rsidRPr="001453C3" w:rsidRDefault="009C5328" w:rsidP="000F4CDF">
            <w:pPr>
              <w:spacing w:after="120" w:line="240" w:lineRule="auto"/>
              <w:rPr>
                <w:rFonts w:cstheme="minorHAnsi"/>
                <w:sz w:val="24"/>
                <w:szCs w:val="24"/>
              </w:rPr>
            </w:pPr>
            <w:r w:rsidRPr="001453C3">
              <w:rPr>
                <w:rFonts w:cstheme="minorHAnsi"/>
                <w:sz w:val="24"/>
                <w:szCs w:val="24"/>
              </w:rPr>
              <w:t>Last year's report suggested that increases in cost per dwelling of collecting council tax were associated with the implementation of a new council tax system, and this was not anticipated to affect performance in future years. The new system was to bring with it lower maintenance costs, which would reduce costs of collection and bring them below the Scottish average.</w:t>
            </w:r>
          </w:p>
          <w:p w14:paraId="5177D34E" w14:textId="77777777" w:rsidR="007C15D2" w:rsidRPr="001453C3" w:rsidRDefault="009C5328" w:rsidP="000F4CDF">
            <w:pPr>
              <w:spacing w:after="120" w:line="240" w:lineRule="auto"/>
              <w:rPr>
                <w:rFonts w:cstheme="minorHAnsi"/>
                <w:sz w:val="24"/>
                <w:szCs w:val="24"/>
              </w:rPr>
            </w:pPr>
            <w:r w:rsidRPr="001453C3">
              <w:rPr>
                <w:rFonts w:cstheme="minorHAnsi"/>
                <w:sz w:val="24"/>
                <w:szCs w:val="24"/>
              </w:rPr>
              <w:t xml:space="preserve">However, costs increased by 13.1% between 2017/18 (£8.47 per dwelling) and 2018/19 (£9.48 per dwelling). This was reflected in a fall in rank </w:t>
            </w:r>
            <w:r w:rsidR="007C15D2" w:rsidRPr="001453C3">
              <w:rPr>
                <w:rFonts w:cstheme="minorHAnsi"/>
                <w:sz w:val="24"/>
                <w:szCs w:val="24"/>
              </w:rPr>
              <w:t xml:space="preserve">from </w:t>
            </w:r>
            <w:r w:rsidRPr="001453C3">
              <w:rPr>
                <w:rFonts w:cstheme="minorHAnsi"/>
                <w:sz w:val="24"/>
                <w:szCs w:val="24"/>
              </w:rPr>
              <w:t xml:space="preserve">21 </w:t>
            </w:r>
            <w:r w:rsidR="007C15D2" w:rsidRPr="001453C3">
              <w:rPr>
                <w:rFonts w:cstheme="minorHAnsi"/>
                <w:sz w:val="24"/>
                <w:szCs w:val="24"/>
              </w:rPr>
              <w:t>last year to 25 this.</w:t>
            </w:r>
          </w:p>
          <w:p w14:paraId="6B3AD2BC" w14:textId="7CF22BA0" w:rsidR="009C5328" w:rsidRPr="001453C3" w:rsidRDefault="007C15D2" w:rsidP="000F4CDF">
            <w:pPr>
              <w:spacing w:after="120" w:line="240" w:lineRule="auto"/>
              <w:rPr>
                <w:rFonts w:cstheme="minorHAnsi"/>
                <w:sz w:val="24"/>
                <w:szCs w:val="24"/>
              </w:rPr>
            </w:pPr>
            <w:r w:rsidRPr="001453C3">
              <w:rPr>
                <w:rFonts w:cstheme="minorHAnsi"/>
                <w:sz w:val="24"/>
                <w:szCs w:val="24"/>
              </w:rPr>
              <w:t>The 2018/19 figures will not have taken into account reorganisation planned for 2019/20, wherein efficiencies would be achieved.</w:t>
            </w:r>
            <w:r w:rsidR="009C5328" w:rsidRPr="001453C3">
              <w:rPr>
                <w:rFonts w:cstheme="minorHAnsi"/>
                <w:sz w:val="24"/>
                <w:szCs w:val="24"/>
              </w:rPr>
              <w:t xml:space="preserve"> </w:t>
            </w:r>
          </w:p>
          <w:p w14:paraId="35540A40" w14:textId="77777777" w:rsidR="009C5328" w:rsidRPr="005543B2" w:rsidRDefault="009C5328" w:rsidP="003D55B4">
            <w:pPr>
              <w:spacing w:after="0" w:line="240" w:lineRule="auto"/>
              <w:rPr>
                <w:rFonts w:ascii="Arial" w:hAnsi="Arial" w:cs="Arial"/>
                <w:szCs w:val="24"/>
              </w:rPr>
            </w:pPr>
          </w:p>
        </w:tc>
      </w:tr>
      <w:tr w:rsidR="006452B6" w14:paraId="384C0720" w14:textId="77777777" w:rsidTr="00912400">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23DE5836" w14:textId="77777777" w:rsidR="006452B6" w:rsidRPr="00794345" w:rsidRDefault="006452B6" w:rsidP="00912400">
            <w:pPr>
              <w:spacing w:after="0" w:line="240" w:lineRule="auto"/>
              <w:rPr>
                <w:rFonts w:ascii="Arial" w:hAnsi="Arial" w:cs="Arial"/>
                <w:sz w:val="6"/>
                <w:szCs w:val="6"/>
              </w:rPr>
            </w:pPr>
          </w:p>
          <w:p w14:paraId="23EAE51D" w14:textId="77777777" w:rsidR="006452B6" w:rsidRDefault="006452B6" w:rsidP="000F4CDF">
            <w:pPr>
              <w:spacing w:after="120" w:line="240" w:lineRule="auto"/>
              <w:rPr>
                <w:b/>
                <w:sz w:val="28"/>
                <w:szCs w:val="28"/>
              </w:rPr>
            </w:pPr>
            <w:r>
              <w:rPr>
                <w:b/>
                <w:sz w:val="28"/>
                <w:szCs w:val="28"/>
              </w:rPr>
              <w:t>LOOKING FORWARD - EXPECTED IMPACT ON INDICATOR:</w:t>
            </w:r>
          </w:p>
          <w:p w14:paraId="0B7F9FA6" w14:textId="77777777" w:rsidR="00926613" w:rsidRDefault="00926613" w:rsidP="000F4CDF">
            <w:pPr>
              <w:spacing w:after="120" w:line="240" w:lineRule="auto"/>
              <w:rPr>
                <w:rFonts w:ascii="Calibri" w:hAnsi="Calibri" w:cs="Calibri"/>
                <w:sz w:val="24"/>
                <w:szCs w:val="28"/>
              </w:rPr>
            </w:pPr>
            <w:r w:rsidRPr="007C7A29">
              <w:rPr>
                <w:rFonts w:ascii="Calibri" w:hAnsi="Calibri" w:cs="Calibri"/>
                <w:sz w:val="24"/>
                <w:szCs w:val="28"/>
              </w:rPr>
              <w:lastRenderedPageBreak/>
              <w:t xml:space="preserve">The cost per dwelling of collecting Council Tax will reduce in 2019/2020 due to efficiencies achieved in a service restructure. </w:t>
            </w:r>
            <w:r>
              <w:rPr>
                <w:rFonts w:ascii="Calibri" w:hAnsi="Calibri" w:cs="Calibri"/>
                <w:sz w:val="24"/>
                <w:szCs w:val="28"/>
              </w:rPr>
              <w:t>This will reflect well in future LGBF submissions.</w:t>
            </w:r>
          </w:p>
          <w:p w14:paraId="72F83D13" w14:textId="77777777" w:rsidR="006452B6" w:rsidRPr="005543B2" w:rsidRDefault="006452B6" w:rsidP="003D55B4">
            <w:pPr>
              <w:spacing w:after="0" w:line="240" w:lineRule="auto"/>
              <w:rPr>
                <w:rFonts w:ascii="Arial" w:hAnsi="Arial" w:cs="Arial"/>
                <w:szCs w:val="28"/>
              </w:rPr>
            </w:pPr>
          </w:p>
        </w:tc>
      </w:tr>
    </w:tbl>
    <w:p w14:paraId="0CBC04CB" w14:textId="4AC99B76" w:rsidR="00336A54" w:rsidRDefault="00336A54"/>
    <w:p w14:paraId="335DE6B1" w14:textId="77777777" w:rsidR="00336A54" w:rsidRDefault="00336A54">
      <w:r>
        <w:br w:type="page"/>
      </w:r>
    </w:p>
    <w:tbl>
      <w:tblPr>
        <w:tblW w:w="15309" w:type="dxa"/>
        <w:jc w:val="center"/>
        <w:tblLook w:val="04A0" w:firstRow="1" w:lastRow="0" w:firstColumn="1" w:lastColumn="0" w:noHBand="0" w:noVBand="1"/>
      </w:tblPr>
      <w:tblGrid>
        <w:gridCol w:w="5665"/>
        <w:gridCol w:w="1843"/>
        <w:gridCol w:w="5954"/>
        <w:gridCol w:w="1847"/>
      </w:tblGrid>
      <w:tr w:rsidR="006452B6" w:rsidRPr="005D65E6" w14:paraId="4D56E4D3" w14:textId="77777777" w:rsidTr="006452B6">
        <w:trPr>
          <w:trHeight w:val="79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6A8A0E63" w14:textId="4E507AC7" w:rsidR="006452B6" w:rsidRPr="005D65E6" w:rsidRDefault="006452B6" w:rsidP="00473295">
            <w:pPr>
              <w:rPr>
                <w:b/>
                <w:sz w:val="32"/>
              </w:rPr>
            </w:pPr>
            <w:r w:rsidRPr="005D65E6">
              <w:rPr>
                <w:b/>
                <w:sz w:val="32"/>
              </w:rPr>
              <w:lastRenderedPageBreak/>
              <w:t xml:space="preserve">SERVICE: </w:t>
            </w:r>
            <w:r w:rsidR="00473295">
              <w:rPr>
                <w:b/>
                <w:sz w:val="32"/>
              </w:rPr>
              <w:t>FINANCIAL SERVICES</w:t>
            </w:r>
          </w:p>
        </w:tc>
      </w:tr>
      <w:tr w:rsidR="00365C5A" w:rsidRPr="00F90232" w14:paraId="0F90305B" w14:textId="77777777" w:rsidTr="006F20EA">
        <w:trPr>
          <w:trHeight w:val="567"/>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19954BF8" w14:textId="77777777" w:rsidR="00365C5A" w:rsidRPr="00F90232" w:rsidRDefault="00365C5A" w:rsidP="009A329B">
            <w:pPr>
              <w:pStyle w:val="Heading1"/>
              <w:spacing w:before="0" w:line="240" w:lineRule="auto"/>
              <w:rPr>
                <w:b/>
                <w:color w:val="auto"/>
              </w:rPr>
            </w:pPr>
            <w:bookmarkStart w:id="18" w:name="_Toc56757696"/>
            <w:r w:rsidRPr="00F90232">
              <w:rPr>
                <w:b/>
                <w:color w:val="auto"/>
              </w:rPr>
              <w:t xml:space="preserve">INDICATOR REF: CORP 7 - </w:t>
            </w:r>
            <w:r w:rsidR="004F2CC9" w:rsidRPr="00F90232">
              <w:rPr>
                <w:b/>
                <w:color w:val="auto"/>
              </w:rPr>
              <w:t>Percentage</w:t>
            </w:r>
            <w:r w:rsidRPr="00F90232">
              <w:rPr>
                <w:b/>
                <w:color w:val="auto"/>
              </w:rPr>
              <w:t xml:space="preserve"> of income due from Council Tax received by the end of the year</w:t>
            </w:r>
            <w:bookmarkEnd w:id="18"/>
          </w:p>
        </w:tc>
      </w:tr>
      <w:tr w:rsidR="003E452D" w14:paraId="569DF8A4" w14:textId="77777777" w:rsidTr="006F20EA">
        <w:trPr>
          <w:trHeight w:val="45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299BBC92" w14:textId="02B92A5A" w:rsidR="003E452D" w:rsidRPr="00EF0B20" w:rsidRDefault="003E452D" w:rsidP="003D55B4">
            <w:pPr>
              <w:spacing w:after="0" w:line="240" w:lineRule="auto"/>
              <w:jc w:val="center"/>
              <w:rPr>
                <w:b/>
                <w:color w:val="0070C0"/>
                <w:sz w:val="28"/>
                <w:szCs w:val="28"/>
              </w:rPr>
            </w:pPr>
            <w:r w:rsidRPr="00C577BD">
              <w:rPr>
                <w:b/>
                <w:color w:val="0070C0"/>
                <w:sz w:val="28"/>
                <w:szCs w:val="28"/>
              </w:rPr>
              <w:t>Performance Range:</w:t>
            </w:r>
            <w:r w:rsidR="00EF0B20" w:rsidRPr="004C7782">
              <w:rPr>
                <w:b/>
                <w:color w:val="0070C0"/>
                <w:sz w:val="28"/>
                <w:szCs w:val="28"/>
              </w:rPr>
              <w:t xml:space="preserve"> </w:t>
            </w:r>
            <w:r w:rsidR="00B12BC1">
              <w:rPr>
                <w:b/>
                <w:color w:val="0070C0"/>
                <w:sz w:val="28"/>
                <w:szCs w:val="28"/>
              </w:rPr>
              <w:t>93.95</w:t>
            </w:r>
            <w:r w:rsidR="00EF0B20">
              <w:rPr>
                <w:b/>
                <w:color w:val="0070C0"/>
                <w:sz w:val="28"/>
                <w:szCs w:val="28"/>
              </w:rPr>
              <w:t xml:space="preserve">% to </w:t>
            </w:r>
            <w:r w:rsidR="00B12BC1">
              <w:rPr>
                <w:b/>
                <w:color w:val="0070C0"/>
                <w:sz w:val="28"/>
                <w:szCs w:val="28"/>
              </w:rPr>
              <w:t>97.96</w:t>
            </w:r>
            <w:r w:rsidR="00EF0B20">
              <w:rPr>
                <w:b/>
                <w:color w:val="0070C0"/>
                <w:sz w:val="28"/>
                <w:szCs w:val="28"/>
              </w:rPr>
              <w:t>%</w:t>
            </w:r>
            <w:r w:rsidR="005E2139">
              <w:rPr>
                <w:b/>
                <w:color w:val="0070C0"/>
                <w:sz w:val="28"/>
                <w:szCs w:val="28"/>
              </w:rPr>
              <w:t xml:space="preserve">  </w:t>
            </w:r>
            <w:r w:rsidR="005E2139" w:rsidRPr="005E2139">
              <w:rPr>
                <w:b/>
                <w:color w:val="0070C0"/>
                <w:sz w:val="28"/>
                <w:szCs w:val="28"/>
              </w:rPr>
              <w:t>(Highest is best)</w:t>
            </w:r>
          </w:p>
        </w:tc>
      </w:tr>
      <w:tr w:rsidR="00365C5A" w14:paraId="41729F78" w14:textId="77777777" w:rsidTr="00E83409">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5588FFC" w14:textId="77777777" w:rsidR="00365C5A" w:rsidRDefault="00365C5A" w:rsidP="009A329B">
            <w:pPr>
              <w:spacing w:after="0" w:line="240" w:lineRule="auto"/>
              <w:jc w:val="center"/>
              <w:rPr>
                <w:b/>
                <w:sz w:val="28"/>
                <w:szCs w:val="28"/>
              </w:rPr>
            </w:pPr>
            <w:r>
              <w:rPr>
                <w:b/>
                <w:sz w:val="28"/>
                <w:szCs w:val="28"/>
              </w:rPr>
              <w:t>ARGYLL AND BUTE</w:t>
            </w:r>
          </w:p>
        </w:tc>
        <w:tc>
          <w:tcPr>
            <w:tcW w:w="780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198794F" w14:textId="77777777" w:rsidR="00365C5A" w:rsidRDefault="00365C5A" w:rsidP="009A329B">
            <w:pPr>
              <w:spacing w:after="0" w:line="240" w:lineRule="auto"/>
              <w:jc w:val="center"/>
              <w:rPr>
                <w:b/>
                <w:sz w:val="28"/>
                <w:szCs w:val="28"/>
              </w:rPr>
            </w:pPr>
            <w:r>
              <w:rPr>
                <w:b/>
                <w:sz w:val="28"/>
                <w:szCs w:val="28"/>
              </w:rPr>
              <w:t>SCOTLAND</w:t>
            </w:r>
          </w:p>
        </w:tc>
      </w:tr>
      <w:tr w:rsidR="00365C5A" w14:paraId="0C56E6E0" w14:textId="77777777" w:rsidTr="006F20EA">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vAlign w:val="center"/>
          </w:tcPr>
          <w:p w14:paraId="655C9B47" w14:textId="149A79AB" w:rsidR="00365C5A" w:rsidRPr="002F2A64" w:rsidRDefault="00B12BC1" w:rsidP="009A329B">
            <w:pPr>
              <w:spacing w:after="0" w:line="240" w:lineRule="auto"/>
              <w:jc w:val="center"/>
              <w:rPr>
                <w:b/>
                <w:sz w:val="28"/>
                <w:szCs w:val="28"/>
              </w:rPr>
            </w:pPr>
            <w:r>
              <w:rPr>
                <w:b/>
                <w:sz w:val="28"/>
                <w:szCs w:val="28"/>
              </w:rPr>
              <w:t>96.11</w:t>
            </w:r>
            <w:r w:rsidR="003D55B4">
              <w:rPr>
                <w:b/>
                <w:sz w:val="28"/>
                <w:szCs w:val="28"/>
              </w:rPr>
              <w:t>%</w:t>
            </w:r>
          </w:p>
        </w:tc>
        <w:tc>
          <w:tcPr>
            <w:tcW w:w="7801" w:type="dxa"/>
            <w:gridSpan w:val="2"/>
            <w:tcBorders>
              <w:top w:val="single" w:sz="4" w:space="0" w:color="auto"/>
              <w:left w:val="single" w:sz="4" w:space="0" w:color="auto"/>
              <w:bottom w:val="single" w:sz="4" w:space="0" w:color="auto"/>
              <w:right w:val="single" w:sz="4" w:space="0" w:color="auto"/>
            </w:tcBorders>
            <w:vAlign w:val="center"/>
          </w:tcPr>
          <w:p w14:paraId="2CBDE715" w14:textId="76AF75DC" w:rsidR="00365C5A" w:rsidRDefault="00447F05" w:rsidP="009A329B">
            <w:pPr>
              <w:spacing w:after="0" w:line="240" w:lineRule="auto"/>
              <w:jc w:val="center"/>
              <w:rPr>
                <w:b/>
                <w:sz w:val="28"/>
                <w:szCs w:val="28"/>
              </w:rPr>
            </w:pPr>
            <w:r>
              <w:rPr>
                <w:b/>
                <w:sz w:val="28"/>
                <w:szCs w:val="28"/>
              </w:rPr>
              <w:t>96.01</w:t>
            </w:r>
            <w:r w:rsidR="003D55B4">
              <w:rPr>
                <w:b/>
                <w:sz w:val="28"/>
                <w:szCs w:val="28"/>
              </w:rPr>
              <w:t>%</w:t>
            </w:r>
          </w:p>
        </w:tc>
      </w:tr>
      <w:tr w:rsidR="0020450A" w14:paraId="4EAD047B" w14:textId="77777777" w:rsidTr="006F20EA">
        <w:trPr>
          <w:trHeight w:val="397"/>
          <w:jc w:val="center"/>
        </w:trPr>
        <w:tc>
          <w:tcPr>
            <w:tcW w:w="5665" w:type="dxa"/>
            <w:tcBorders>
              <w:top w:val="single" w:sz="4" w:space="0" w:color="auto"/>
              <w:left w:val="single" w:sz="4" w:space="0" w:color="auto"/>
              <w:bottom w:val="single" w:sz="4" w:space="0" w:color="auto"/>
              <w:right w:val="single" w:sz="4" w:space="0" w:color="auto"/>
            </w:tcBorders>
            <w:vAlign w:val="center"/>
          </w:tcPr>
          <w:p w14:paraId="7CE3D578" w14:textId="609AB8A8" w:rsidR="0020450A" w:rsidRPr="002F2A64" w:rsidRDefault="0020450A" w:rsidP="003D55B4">
            <w:pPr>
              <w:spacing w:after="0" w:line="240" w:lineRule="auto"/>
              <w:jc w:val="center"/>
              <w:rPr>
                <w:b/>
                <w:sz w:val="28"/>
                <w:szCs w:val="28"/>
              </w:rPr>
            </w:pPr>
            <w:r w:rsidRPr="002F2A64">
              <w:rPr>
                <w:b/>
                <w:sz w:val="28"/>
                <w:szCs w:val="28"/>
              </w:rPr>
              <w:t>CHANGE 201</w:t>
            </w:r>
            <w:r w:rsidR="003D55B4">
              <w:rPr>
                <w:b/>
                <w:sz w:val="28"/>
                <w:szCs w:val="28"/>
              </w:rPr>
              <w:t>7</w:t>
            </w:r>
            <w:r w:rsidRPr="002F2A64">
              <w:rPr>
                <w:b/>
                <w:sz w:val="28"/>
                <w:szCs w:val="28"/>
              </w:rPr>
              <w:t>/1</w:t>
            </w:r>
            <w:r w:rsidR="003D55B4">
              <w:rPr>
                <w:b/>
                <w:sz w:val="28"/>
                <w:szCs w:val="28"/>
              </w:rPr>
              <w:t>8</w:t>
            </w:r>
            <w:r w:rsidRPr="002F2A64">
              <w:rPr>
                <w:b/>
                <w:sz w:val="28"/>
                <w:szCs w:val="28"/>
              </w:rPr>
              <w:t xml:space="preserve"> TO 201</w:t>
            </w:r>
            <w:r w:rsidR="003D55B4">
              <w:rPr>
                <w:b/>
                <w:sz w:val="28"/>
                <w:szCs w:val="28"/>
              </w:rPr>
              <w:t>8</w:t>
            </w:r>
            <w:r w:rsidRPr="002F2A64">
              <w:rPr>
                <w:b/>
                <w:sz w:val="28"/>
                <w:szCs w:val="28"/>
              </w:rPr>
              <w:t>/1</w:t>
            </w:r>
            <w:r w:rsidR="003D55B4">
              <w:rPr>
                <w:b/>
                <w:sz w:val="28"/>
                <w:szCs w:val="28"/>
              </w:rPr>
              <w:t>9</w:t>
            </w:r>
          </w:p>
        </w:tc>
        <w:tc>
          <w:tcPr>
            <w:tcW w:w="1843" w:type="dxa"/>
            <w:tcBorders>
              <w:top w:val="single" w:sz="4" w:space="0" w:color="auto"/>
              <w:left w:val="single" w:sz="4" w:space="0" w:color="auto"/>
              <w:bottom w:val="single" w:sz="4" w:space="0" w:color="auto"/>
              <w:right w:val="single" w:sz="4" w:space="0" w:color="auto"/>
            </w:tcBorders>
            <w:vAlign w:val="center"/>
          </w:tcPr>
          <w:p w14:paraId="4B816257" w14:textId="4BBA3240" w:rsidR="0020450A" w:rsidRPr="002F2A64" w:rsidRDefault="003D55B4" w:rsidP="00B12BC1">
            <w:pPr>
              <w:spacing w:after="0" w:line="240" w:lineRule="auto"/>
              <w:jc w:val="center"/>
              <w:rPr>
                <w:b/>
                <w:sz w:val="28"/>
                <w:szCs w:val="28"/>
              </w:rPr>
            </w:pPr>
            <w:r>
              <w:rPr>
                <w:b/>
                <w:sz w:val="28"/>
                <w:szCs w:val="28"/>
              </w:rPr>
              <w:t>0.</w:t>
            </w:r>
            <w:r w:rsidR="00B12BC1">
              <w:rPr>
                <w:b/>
                <w:sz w:val="28"/>
                <w:szCs w:val="28"/>
              </w:rPr>
              <w:t>31</w:t>
            </w:r>
            <w:r w:rsidR="00447F05">
              <w:rPr>
                <w:b/>
                <w:sz w:val="28"/>
                <w:szCs w:val="28"/>
              </w:rPr>
              <w:t xml:space="preserve"> </w:t>
            </w:r>
            <w:r w:rsidR="00447F05" w:rsidRPr="00EC5E64">
              <w:rPr>
                <w:b/>
                <w:color w:val="00B050"/>
                <w:sz w:val="28"/>
                <w:szCs w:val="28"/>
              </w:rPr>
              <w:sym w:font="Wingdings" w:char="F0E9"/>
            </w:r>
          </w:p>
        </w:tc>
        <w:tc>
          <w:tcPr>
            <w:tcW w:w="5954" w:type="dxa"/>
            <w:tcBorders>
              <w:top w:val="single" w:sz="4" w:space="0" w:color="auto"/>
              <w:left w:val="single" w:sz="4" w:space="0" w:color="auto"/>
              <w:bottom w:val="single" w:sz="4" w:space="0" w:color="auto"/>
              <w:right w:val="single" w:sz="4" w:space="0" w:color="auto"/>
            </w:tcBorders>
            <w:vAlign w:val="center"/>
          </w:tcPr>
          <w:p w14:paraId="3DA68649" w14:textId="4E24A27B" w:rsidR="0020450A" w:rsidRPr="002B101C" w:rsidRDefault="0020450A" w:rsidP="003D55B4">
            <w:pPr>
              <w:spacing w:after="0" w:line="240" w:lineRule="auto"/>
              <w:jc w:val="center"/>
              <w:rPr>
                <w:sz w:val="28"/>
                <w:szCs w:val="28"/>
              </w:rPr>
            </w:pPr>
            <w:r w:rsidRPr="002B101C">
              <w:rPr>
                <w:sz w:val="28"/>
                <w:szCs w:val="28"/>
              </w:rPr>
              <w:t>CHANGE 201</w:t>
            </w:r>
            <w:r w:rsidR="003D55B4">
              <w:rPr>
                <w:sz w:val="28"/>
                <w:szCs w:val="28"/>
              </w:rPr>
              <w:t>7</w:t>
            </w:r>
            <w:r w:rsidRPr="002B101C">
              <w:rPr>
                <w:sz w:val="28"/>
                <w:szCs w:val="28"/>
              </w:rPr>
              <w:t>/1</w:t>
            </w:r>
            <w:r w:rsidR="003D55B4">
              <w:rPr>
                <w:sz w:val="28"/>
                <w:szCs w:val="28"/>
              </w:rPr>
              <w:t>8</w:t>
            </w:r>
            <w:r w:rsidRPr="002B101C">
              <w:rPr>
                <w:sz w:val="28"/>
                <w:szCs w:val="28"/>
              </w:rPr>
              <w:t xml:space="preserve"> TO 201</w:t>
            </w:r>
            <w:r w:rsidR="003D55B4">
              <w:rPr>
                <w:sz w:val="28"/>
                <w:szCs w:val="28"/>
              </w:rPr>
              <w:t>8</w:t>
            </w:r>
            <w:r w:rsidRPr="002B101C">
              <w:rPr>
                <w:sz w:val="28"/>
                <w:szCs w:val="28"/>
              </w:rPr>
              <w:t>/1</w:t>
            </w:r>
            <w:r w:rsidR="003D55B4">
              <w:rPr>
                <w:sz w:val="28"/>
                <w:szCs w:val="28"/>
              </w:rPr>
              <w:t>9</w:t>
            </w:r>
          </w:p>
        </w:tc>
        <w:tc>
          <w:tcPr>
            <w:tcW w:w="1847" w:type="dxa"/>
            <w:tcBorders>
              <w:top w:val="single" w:sz="4" w:space="0" w:color="auto"/>
              <w:left w:val="single" w:sz="4" w:space="0" w:color="auto"/>
              <w:bottom w:val="single" w:sz="4" w:space="0" w:color="auto"/>
              <w:right w:val="single" w:sz="4" w:space="0" w:color="auto"/>
            </w:tcBorders>
            <w:vAlign w:val="center"/>
          </w:tcPr>
          <w:p w14:paraId="387A80D4" w14:textId="037437DF" w:rsidR="0020450A" w:rsidRPr="00447F05" w:rsidRDefault="00447F05" w:rsidP="009A329B">
            <w:pPr>
              <w:spacing w:after="0" w:line="240" w:lineRule="auto"/>
              <w:jc w:val="center"/>
              <w:rPr>
                <w:sz w:val="28"/>
                <w:szCs w:val="28"/>
              </w:rPr>
            </w:pPr>
            <w:r w:rsidRPr="00447F05">
              <w:rPr>
                <w:sz w:val="28"/>
                <w:szCs w:val="28"/>
              </w:rPr>
              <w:t>0.01</w:t>
            </w:r>
            <w:r>
              <w:rPr>
                <w:sz w:val="28"/>
                <w:szCs w:val="28"/>
              </w:rPr>
              <w:t xml:space="preserve"> </w:t>
            </w:r>
            <w:r w:rsidRPr="00EC5E64">
              <w:rPr>
                <w:b/>
                <w:color w:val="00B050"/>
                <w:sz w:val="28"/>
                <w:szCs w:val="28"/>
              </w:rPr>
              <w:sym w:font="Wingdings" w:char="F0E9"/>
            </w:r>
          </w:p>
        </w:tc>
      </w:tr>
      <w:tr w:rsidR="0020450A" w14:paraId="5D885AAF" w14:textId="77777777" w:rsidTr="00E83409">
        <w:trPr>
          <w:trHeight w:val="397"/>
          <w:jc w:val="center"/>
        </w:trPr>
        <w:tc>
          <w:tcPr>
            <w:tcW w:w="5665" w:type="dxa"/>
            <w:tcBorders>
              <w:top w:val="single" w:sz="4" w:space="0" w:color="auto"/>
              <w:left w:val="single" w:sz="4" w:space="0" w:color="auto"/>
              <w:bottom w:val="single" w:sz="4" w:space="0" w:color="auto"/>
              <w:right w:val="single" w:sz="4" w:space="0" w:color="auto"/>
            </w:tcBorders>
            <w:vAlign w:val="center"/>
          </w:tcPr>
          <w:p w14:paraId="5E91B6C0" w14:textId="2AAAECF5" w:rsidR="0020450A" w:rsidRPr="002F2A64" w:rsidRDefault="0020450A" w:rsidP="003D55B4">
            <w:pPr>
              <w:spacing w:after="0" w:line="240" w:lineRule="auto"/>
              <w:jc w:val="center"/>
              <w:rPr>
                <w:b/>
                <w:sz w:val="28"/>
                <w:szCs w:val="28"/>
              </w:rPr>
            </w:pPr>
            <w:r w:rsidRPr="002F2A64">
              <w:rPr>
                <w:b/>
                <w:sz w:val="28"/>
                <w:szCs w:val="28"/>
              </w:rPr>
              <w:t>CHANGE BASE YEAR TO 201</w:t>
            </w:r>
            <w:r w:rsidR="003D55B4">
              <w:rPr>
                <w:b/>
                <w:sz w:val="28"/>
                <w:szCs w:val="28"/>
              </w:rPr>
              <w:t>8</w:t>
            </w:r>
            <w:r w:rsidRPr="002F2A64">
              <w:rPr>
                <w:b/>
                <w:sz w:val="28"/>
                <w:szCs w:val="28"/>
              </w:rPr>
              <w:t>/1</w:t>
            </w:r>
            <w:r w:rsidR="003D55B4">
              <w:rPr>
                <w:b/>
                <w:sz w:val="28"/>
                <w:szCs w:val="28"/>
              </w:rPr>
              <w:t>9</w:t>
            </w:r>
          </w:p>
        </w:tc>
        <w:tc>
          <w:tcPr>
            <w:tcW w:w="1843" w:type="dxa"/>
            <w:tcBorders>
              <w:top w:val="single" w:sz="4" w:space="0" w:color="auto"/>
              <w:left w:val="single" w:sz="4" w:space="0" w:color="auto"/>
              <w:bottom w:val="single" w:sz="4" w:space="0" w:color="auto"/>
              <w:right w:val="single" w:sz="4" w:space="0" w:color="auto"/>
            </w:tcBorders>
            <w:vAlign w:val="center"/>
          </w:tcPr>
          <w:p w14:paraId="171CDC50" w14:textId="7BEBC9F9" w:rsidR="0020450A" w:rsidRPr="002F2A64" w:rsidRDefault="00B12BC1" w:rsidP="00B12BC1">
            <w:pPr>
              <w:spacing w:after="0" w:line="240" w:lineRule="auto"/>
              <w:jc w:val="center"/>
              <w:rPr>
                <w:b/>
                <w:sz w:val="28"/>
                <w:szCs w:val="28"/>
              </w:rPr>
            </w:pPr>
            <w:r>
              <w:rPr>
                <w:b/>
                <w:sz w:val="28"/>
                <w:szCs w:val="28"/>
              </w:rPr>
              <w:t>-</w:t>
            </w:r>
            <w:r w:rsidR="003D55B4">
              <w:rPr>
                <w:b/>
                <w:sz w:val="28"/>
                <w:szCs w:val="28"/>
              </w:rPr>
              <w:t>0.</w:t>
            </w:r>
            <w:r>
              <w:rPr>
                <w:b/>
                <w:sz w:val="28"/>
                <w:szCs w:val="28"/>
              </w:rPr>
              <w:t>03</w:t>
            </w:r>
            <w:r w:rsidR="00447F05">
              <w:rPr>
                <w:b/>
                <w:sz w:val="28"/>
                <w:szCs w:val="28"/>
              </w:rPr>
              <w:t xml:space="preserve"> </w:t>
            </w:r>
            <w:r w:rsidR="00447F05" w:rsidRPr="00C14931">
              <w:rPr>
                <w:b/>
                <w:color w:val="FF0000"/>
                <w:sz w:val="28"/>
                <w:szCs w:val="28"/>
              </w:rPr>
              <w:sym w:font="Wingdings" w:char="F0EA"/>
            </w:r>
          </w:p>
        </w:tc>
        <w:tc>
          <w:tcPr>
            <w:tcW w:w="5954" w:type="dxa"/>
            <w:tcBorders>
              <w:top w:val="single" w:sz="4" w:space="0" w:color="auto"/>
              <w:left w:val="single" w:sz="4" w:space="0" w:color="auto"/>
              <w:bottom w:val="single" w:sz="4" w:space="0" w:color="auto"/>
              <w:right w:val="single" w:sz="4" w:space="0" w:color="auto"/>
            </w:tcBorders>
            <w:vAlign w:val="center"/>
          </w:tcPr>
          <w:p w14:paraId="493CA681" w14:textId="6E7A3045" w:rsidR="0020450A" w:rsidRDefault="0020450A" w:rsidP="003D55B4">
            <w:pPr>
              <w:spacing w:after="0" w:line="240" w:lineRule="auto"/>
              <w:jc w:val="center"/>
              <w:rPr>
                <w:b/>
                <w:sz w:val="28"/>
                <w:szCs w:val="28"/>
              </w:rPr>
            </w:pPr>
            <w:r>
              <w:rPr>
                <w:sz w:val="28"/>
                <w:szCs w:val="28"/>
              </w:rPr>
              <w:t>CHANGE BASE YEAR TO 201</w:t>
            </w:r>
            <w:r w:rsidR="003D55B4">
              <w:rPr>
                <w:sz w:val="28"/>
                <w:szCs w:val="28"/>
              </w:rPr>
              <w:t>8</w:t>
            </w:r>
            <w:r>
              <w:rPr>
                <w:sz w:val="28"/>
                <w:szCs w:val="28"/>
              </w:rPr>
              <w:t>/1</w:t>
            </w:r>
            <w:r w:rsidR="003D55B4">
              <w:rPr>
                <w:sz w:val="28"/>
                <w:szCs w:val="28"/>
              </w:rPr>
              <w:t>9</w:t>
            </w:r>
          </w:p>
        </w:tc>
        <w:tc>
          <w:tcPr>
            <w:tcW w:w="1847" w:type="dxa"/>
            <w:tcBorders>
              <w:top w:val="single" w:sz="4" w:space="0" w:color="auto"/>
              <w:left w:val="single" w:sz="4" w:space="0" w:color="auto"/>
              <w:bottom w:val="single" w:sz="4" w:space="0" w:color="auto"/>
              <w:right w:val="single" w:sz="4" w:space="0" w:color="auto"/>
            </w:tcBorders>
            <w:vAlign w:val="center"/>
          </w:tcPr>
          <w:p w14:paraId="36CC7A9B" w14:textId="61A705A1" w:rsidR="0020450A" w:rsidRPr="00447F05" w:rsidRDefault="00447F05" w:rsidP="009A329B">
            <w:pPr>
              <w:spacing w:after="0" w:line="240" w:lineRule="auto"/>
              <w:jc w:val="center"/>
              <w:rPr>
                <w:sz w:val="28"/>
                <w:szCs w:val="28"/>
              </w:rPr>
            </w:pPr>
            <w:r w:rsidRPr="00447F05">
              <w:rPr>
                <w:sz w:val="28"/>
                <w:szCs w:val="28"/>
              </w:rPr>
              <w:t>1.28</w:t>
            </w:r>
            <w:r>
              <w:rPr>
                <w:sz w:val="28"/>
                <w:szCs w:val="28"/>
              </w:rPr>
              <w:t xml:space="preserve"> </w:t>
            </w:r>
            <w:r w:rsidRPr="00EC5E64">
              <w:rPr>
                <w:b/>
                <w:color w:val="00B050"/>
                <w:sz w:val="28"/>
                <w:szCs w:val="28"/>
              </w:rPr>
              <w:sym w:font="Wingdings" w:char="F0E9"/>
            </w:r>
          </w:p>
        </w:tc>
      </w:tr>
      <w:tr w:rsidR="0020450A" w14:paraId="3A5AFB52" w14:textId="77777777" w:rsidTr="00B318EA">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vAlign w:val="center"/>
          </w:tcPr>
          <w:p w14:paraId="530BC543" w14:textId="2C834FA7" w:rsidR="0020450A" w:rsidRPr="002F2A64" w:rsidRDefault="0020450A" w:rsidP="003D55B4">
            <w:pPr>
              <w:spacing w:after="0" w:line="240" w:lineRule="auto"/>
              <w:jc w:val="center"/>
              <w:rPr>
                <w:b/>
                <w:sz w:val="28"/>
                <w:szCs w:val="28"/>
              </w:rPr>
            </w:pPr>
            <w:r w:rsidRPr="002F2A64">
              <w:rPr>
                <w:b/>
                <w:sz w:val="28"/>
                <w:szCs w:val="28"/>
              </w:rPr>
              <w:t>RANK POSITION:</w:t>
            </w:r>
            <w:r w:rsidR="00513443" w:rsidRPr="00B12BC1">
              <w:rPr>
                <w:b/>
                <w:sz w:val="28"/>
                <w:szCs w:val="28"/>
              </w:rPr>
              <w:t xml:space="preserve">  </w:t>
            </w:r>
            <w:r w:rsidR="00B12BC1">
              <w:rPr>
                <w:b/>
                <w:sz w:val="28"/>
                <w:szCs w:val="28"/>
              </w:rPr>
              <w:t>18</w:t>
            </w:r>
            <w:r w:rsidR="00513443" w:rsidRPr="00B12BC1">
              <w:rPr>
                <w:b/>
                <w:sz w:val="28"/>
                <w:szCs w:val="28"/>
              </w:rPr>
              <w:t xml:space="preserve">  </w:t>
            </w:r>
            <w:r w:rsidRPr="002F2A64">
              <w:rPr>
                <w:b/>
                <w:sz w:val="28"/>
                <w:szCs w:val="28"/>
              </w:rPr>
              <w:t xml:space="preserve">RANK MOVEMENT: </w:t>
            </w:r>
            <w:r w:rsidR="00B12BC1">
              <w:rPr>
                <w:b/>
                <w:sz w:val="28"/>
                <w:szCs w:val="28"/>
              </w:rPr>
              <w:t>3</w:t>
            </w:r>
            <w:r w:rsidR="00447F05">
              <w:rPr>
                <w:b/>
                <w:sz w:val="28"/>
                <w:szCs w:val="28"/>
              </w:rPr>
              <w:t xml:space="preserve"> </w:t>
            </w:r>
            <w:r w:rsidR="00447F05" w:rsidRPr="00EC5E64">
              <w:rPr>
                <w:b/>
                <w:color w:val="00B050"/>
                <w:sz w:val="28"/>
                <w:szCs w:val="28"/>
              </w:rPr>
              <w:sym w:font="Wingdings" w:char="F0E9"/>
            </w:r>
          </w:p>
        </w:tc>
        <w:tc>
          <w:tcPr>
            <w:tcW w:w="780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059B8571" w14:textId="77777777" w:rsidR="0020450A" w:rsidRPr="00561760" w:rsidRDefault="0020450A" w:rsidP="009A329B">
            <w:pPr>
              <w:spacing w:after="0" w:line="240" w:lineRule="auto"/>
              <w:rPr>
                <w:sz w:val="28"/>
                <w:szCs w:val="28"/>
              </w:rPr>
            </w:pPr>
          </w:p>
        </w:tc>
      </w:tr>
      <w:tr w:rsidR="00F90232" w14:paraId="6B7B0A52" w14:textId="77777777" w:rsidTr="00B318EA">
        <w:trPr>
          <w:trHeight w:val="397"/>
          <w:jc w:val="center"/>
        </w:trPr>
        <w:tc>
          <w:tcPr>
            <w:tcW w:w="7508"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4F684644" w14:textId="0B4D4CC2" w:rsidR="00F90232" w:rsidRPr="002F2A64" w:rsidRDefault="006F20EA" w:rsidP="003D55B4">
            <w:pPr>
              <w:spacing w:after="0" w:line="240" w:lineRule="auto"/>
              <w:jc w:val="center"/>
              <w:rPr>
                <w:b/>
                <w:sz w:val="28"/>
                <w:szCs w:val="28"/>
              </w:rPr>
            </w:pPr>
            <w:r>
              <w:rPr>
                <w:b/>
                <w:sz w:val="28"/>
                <w:szCs w:val="28"/>
              </w:rPr>
              <w:t>FAMILY GROUP RANKING 201</w:t>
            </w:r>
            <w:r w:rsidR="003D55B4">
              <w:rPr>
                <w:b/>
                <w:sz w:val="28"/>
                <w:szCs w:val="28"/>
              </w:rPr>
              <w:t>8</w:t>
            </w:r>
            <w:r>
              <w:rPr>
                <w:b/>
                <w:sz w:val="28"/>
                <w:szCs w:val="28"/>
              </w:rPr>
              <w:t>/1</w:t>
            </w:r>
            <w:r w:rsidR="003D55B4">
              <w:rPr>
                <w:b/>
                <w:sz w:val="28"/>
                <w:szCs w:val="28"/>
              </w:rPr>
              <w:t>9</w:t>
            </w:r>
          </w:p>
        </w:tc>
        <w:tc>
          <w:tcPr>
            <w:tcW w:w="7801" w:type="dxa"/>
            <w:gridSpan w:val="2"/>
            <w:tcBorders>
              <w:left w:val="single" w:sz="4" w:space="0" w:color="auto"/>
              <w:right w:val="single" w:sz="4" w:space="0" w:color="auto"/>
            </w:tcBorders>
            <w:shd w:val="clear" w:color="auto" w:fill="D9D9D9" w:themeFill="background1" w:themeFillShade="D9"/>
            <w:vAlign w:val="center"/>
          </w:tcPr>
          <w:p w14:paraId="6E5C717F" w14:textId="77777777" w:rsidR="00F90232" w:rsidRPr="00561760" w:rsidRDefault="00F90232" w:rsidP="009A329B">
            <w:pPr>
              <w:spacing w:after="0" w:line="240" w:lineRule="auto"/>
              <w:rPr>
                <w:sz w:val="28"/>
                <w:szCs w:val="28"/>
              </w:rPr>
            </w:pPr>
          </w:p>
        </w:tc>
      </w:tr>
      <w:tr w:rsidR="006F20EA" w14:paraId="5E26705D" w14:textId="77777777" w:rsidTr="00B318EA">
        <w:trPr>
          <w:trHeight w:val="397"/>
          <w:jc w:val="center"/>
        </w:trPr>
        <w:tc>
          <w:tcPr>
            <w:tcW w:w="7508" w:type="dxa"/>
            <w:gridSpan w:val="2"/>
            <w:tcBorders>
              <w:left w:val="single" w:sz="4" w:space="0" w:color="auto"/>
              <w:bottom w:val="single" w:sz="4" w:space="0" w:color="auto"/>
              <w:right w:val="single" w:sz="4" w:space="0" w:color="auto"/>
            </w:tcBorders>
            <w:shd w:val="clear" w:color="auto" w:fill="D9E2F3" w:themeFill="accent5" w:themeFillTint="33"/>
            <w:vAlign w:val="center"/>
          </w:tcPr>
          <w:p w14:paraId="6A47EF49" w14:textId="6E9872BD" w:rsidR="006F20EA" w:rsidRDefault="006F20EA" w:rsidP="003D55B4">
            <w:pPr>
              <w:spacing w:after="0" w:line="240" w:lineRule="auto"/>
              <w:jc w:val="center"/>
              <w:rPr>
                <w:b/>
                <w:sz w:val="28"/>
                <w:szCs w:val="28"/>
              </w:rPr>
            </w:pPr>
            <w:r>
              <w:rPr>
                <w:b/>
                <w:sz w:val="28"/>
                <w:szCs w:val="28"/>
              </w:rPr>
              <w:t>RANK POSITION:</w:t>
            </w:r>
            <w:r w:rsidR="00FD1CF1">
              <w:rPr>
                <w:b/>
                <w:sz w:val="28"/>
                <w:szCs w:val="28"/>
              </w:rPr>
              <w:t xml:space="preserve">  </w:t>
            </w:r>
            <w:r w:rsidR="00B12BC1">
              <w:rPr>
                <w:b/>
                <w:sz w:val="28"/>
                <w:szCs w:val="28"/>
              </w:rPr>
              <w:t>7</w:t>
            </w:r>
            <w:r w:rsidR="00FD1CF1">
              <w:rPr>
                <w:b/>
                <w:sz w:val="28"/>
                <w:szCs w:val="28"/>
              </w:rPr>
              <w:t xml:space="preserve">  </w:t>
            </w:r>
            <w:r>
              <w:rPr>
                <w:b/>
                <w:sz w:val="28"/>
                <w:szCs w:val="28"/>
              </w:rPr>
              <w:t xml:space="preserve">RANK MOVEMENT: </w:t>
            </w:r>
            <w:r w:rsidR="00B12BC1">
              <w:rPr>
                <w:b/>
                <w:sz w:val="28"/>
                <w:szCs w:val="28"/>
              </w:rPr>
              <w:t>0</w:t>
            </w:r>
            <w:r w:rsidR="00447F05">
              <w:rPr>
                <w:b/>
                <w:sz w:val="28"/>
                <w:szCs w:val="28"/>
              </w:rPr>
              <w:t xml:space="preserve"> </w:t>
            </w:r>
            <w:r w:rsidR="00447F05" w:rsidRPr="00A83E3B">
              <w:rPr>
                <w:b/>
                <w:color w:val="0070C0"/>
                <w:sz w:val="28"/>
                <w:szCs w:val="28"/>
              </w:rPr>
              <w:sym w:font="Wingdings" w:char="F0E8"/>
            </w:r>
          </w:p>
        </w:tc>
        <w:tc>
          <w:tcPr>
            <w:tcW w:w="7801"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64B3BB54" w14:textId="77777777" w:rsidR="006F20EA" w:rsidRPr="00561760" w:rsidRDefault="006F20EA" w:rsidP="009A329B">
            <w:pPr>
              <w:spacing w:after="0" w:line="240" w:lineRule="auto"/>
              <w:rPr>
                <w:sz w:val="28"/>
                <w:szCs w:val="28"/>
              </w:rPr>
            </w:pPr>
          </w:p>
        </w:tc>
      </w:tr>
      <w:tr w:rsidR="0020450A" w14:paraId="6BE111BC" w14:textId="77777777" w:rsidTr="009838CD">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03B17A61" w14:textId="77777777" w:rsidR="006F20EA" w:rsidRPr="006F20EA" w:rsidRDefault="006F20EA" w:rsidP="009A329B">
            <w:pPr>
              <w:spacing w:after="0" w:line="240" w:lineRule="auto"/>
              <w:rPr>
                <w:sz w:val="6"/>
                <w:szCs w:val="6"/>
              </w:rPr>
            </w:pPr>
          </w:p>
          <w:p w14:paraId="4AB07F81" w14:textId="77777777" w:rsidR="0020450A" w:rsidRDefault="0020450A" w:rsidP="000F4CDF">
            <w:pPr>
              <w:spacing w:after="120" w:line="240" w:lineRule="auto"/>
              <w:rPr>
                <w:b/>
                <w:sz w:val="28"/>
                <w:szCs w:val="28"/>
              </w:rPr>
            </w:pPr>
            <w:r w:rsidRPr="00746CCC">
              <w:rPr>
                <w:b/>
                <w:sz w:val="28"/>
                <w:szCs w:val="28"/>
              </w:rPr>
              <w:t>TELLING OUR STORY:</w:t>
            </w:r>
          </w:p>
          <w:p w14:paraId="2E0421E0" w14:textId="6F9468BC" w:rsidR="002879AE" w:rsidRPr="001453C3" w:rsidRDefault="002879AE" w:rsidP="000F4CDF">
            <w:pPr>
              <w:spacing w:after="120" w:line="240" w:lineRule="auto"/>
              <w:rPr>
                <w:sz w:val="24"/>
                <w:szCs w:val="24"/>
              </w:rPr>
            </w:pPr>
            <w:r w:rsidRPr="001453C3">
              <w:rPr>
                <w:sz w:val="24"/>
                <w:szCs w:val="24"/>
              </w:rPr>
              <w:t>Performance range across all Scottish councils is narrow.</w:t>
            </w:r>
          </w:p>
          <w:p w14:paraId="2C163AF8" w14:textId="77777777" w:rsidR="006F20EA" w:rsidRPr="005543B2" w:rsidRDefault="006F20EA" w:rsidP="003D55B4">
            <w:pPr>
              <w:spacing w:after="0" w:line="240" w:lineRule="auto"/>
              <w:rPr>
                <w:rFonts w:ascii="Arial" w:hAnsi="Arial" w:cs="Arial"/>
                <w:szCs w:val="24"/>
              </w:rPr>
            </w:pPr>
          </w:p>
        </w:tc>
      </w:tr>
      <w:tr w:rsidR="0020450A" w14:paraId="5084C4E9" w14:textId="77777777" w:rsidTr="009838CD">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34724ABD" w14:textId="77777777" w:rsidR="006F20EA" w:rsidRPr="006F20EA" w:rsidRDefault="006F20EA" w:rsidP="009A329B">
            <w:pPr>
              <w:spacing w:after="0" w:line="240" w:lineRule="auto"/>
              <w:rPr>
                <w:sz w:val="6"/>
                <w:szCs w:val="6"/>
              </w:rPr>
            </w:pPr>
          </w:p>
          <w:p w14:paraId="1FAA0ECD" w14:textId="77777777" w:rsidR="0020450A" w:rsidRDefault="00232953" w:rsidP="000F4CDF">
            <w:pPr>
              <w:spacing w:after="120" w:line="240" w:lineRule="auto"/>
              <w:rPr>
                <w:b/>
                <w:sz w:val="28"/>
                <w:szCs w:val="28"/>
              </w:rPr>
            </w:pPr>
            <w:r>
              <w:rPr>
                <w:b/>
                <w:sz w:val="28"/>
                <w:szCs w:val="28"/>
              </w:rPr>
              <w:t>LOOKING FORWARD - EXPECTED IMPACT ON INDICATOR</w:t>
            </w:r>
            <w:r w:rsidR="0020450A" w:rsidRPr="00441B4F">
              <w:rPr>
                <w:b/>
                <w:sz w:val="28"/>
                <w:szCs w:val="28"/>
              </w:rPr>
              <w:t>:</w:t>
            </w:r>
          </w:p>
          <w:p w14:paraId="6C8A84B4" w14:textId="77777777" w:rsidR="00926613" w:rsidRPr="007C7A29" w:rsidRDefault="00926613" w:rsidP="000F4CDF">
            <w:pPr>
              <w:spacing w:after="120" w:line="240" w:lineRule="auto"/>
              <w:rPr>
                <w:sz w:val="24"/>
                <w:szCs w:val="28"/>
              </w:rPr>
            </w:pPr>
            <w:r w:rsidRPr="007C7A29">
              <w:rPr>
                <w:sz w:val="24"/>
                <w:szCs w:val="28"/>
              </w:rPr>
              <w:t xml:space="preserve">2019/2020 </w:t>
            </w:r>
            <w:r>
              <w:rPr>
                <w:sz w:val="24"/>
                <w:szCs w:val="28"/>
              </w:rPr>
              <w:t xml:space="preserve">was a good year for collections of Council Tax due to a much closer working arrangement with Walker Love our debt collection partners. It is anticipated that performance with respect to this indicator will improve in the next submission. </w:t>
            </w:r>
          </w:p>
          <w:p w14:paraId="49A816F0" w14:textId="77777777" w:rsidR="006F20EA" w:rsidRPr="005543B2" w:rsidRDefault="006F20EA" w:rsidP="007D1A9D">
            <w:pPr>
              <w:spacing w:after="0" w:line="240" w:lineRule="auto"/>
              <w:rPr>
                <w:rFonts w:ascii="Arial" w:hAnsi="Arial" w:cs="Arial"/>
                <w:szCs w:val="24"/>
              </w:rPr>
            </w:pPr>
          </w:p>
        </w:tc>
      </w:tr>
    </w:tbl>
    <w:p w14:paraId="22FB7AB8" w14:textId="77777777" w:rsidR="007D1A9D" w:rsidRDefault="007D1A9D">
      <w:r>
        <w:br w:type="page"/>
      </w:r>
    </w:p>
    <w:tbl>
      <w:tblPr>
        <w:tblW w:w="15309" w:type="dxa"/>
        <w:jc w:val="center"/>
        <w:tblLook w:val="04A0" w:firstRow="1" w:lastRow="0" w:firstColumn="1" w:lastColumn="0" w:noHBand="0" w:noVBand="1"/>
      </w:tblPr>
      <w:tblGrid>
        <w:gridCol w:w="5665"/>
        <w:gridCol w:w="1843"/>
        <w:gridCol w:w="5954"/>
        <w:gridCol w:w="1847"/>
      </w:tblGrid>
      <w:tr w:rsidR="00794345" w:rsidRPr="005D65E6" w14:paraId="7B8BD33D" w14:textId="77777777" w:rsidTr="005C10D7">
        <w:trPr>
          <w:trHeight w:val="79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4D16B789" w14:textId="3C08D3C6" w:rsidR="00794345" w:rsidRPr="005D65E6" w:rsidRDefault="00794345" w:rsidP="00473295">
            <w:pPr>
              <w:rPr>
                <w:b/>
                <w:sz w:val="32"/>
              </w:rPr>
            </w:pPr>
            <w:r w:rsidRPr="005D65E6">
              <w:rPr>
                <w:b/>
                <w:sz w:val="32"/>
              </w:rPr>
              <w:lastRenderedPageBreak/>
              <w:t xml:space="preserve">SERVICE: </w:t>
            </w:r>
            <w:r w:rsidR="00473295">
              <w:rPr>
                <w:b/>
                <w:sz w:val="32"/>
              </w:rPr>
              <w:t>FINANCIAL SERVICES</w:t>
            </w:r>
          </w:p>
        </w:tc>
      </w:tr>
      <w:tr w:rsidR="00794345" w:rsidRPr="00F90232" w14:paraId="64863B19" w14:textId="77777777" w:rsidTr="005C10D7">
        <w:trPr>
          <w:trHeight w:val="567"/>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3E33CE83" w14:textId="77777777" w:rsidR="00794345" w:rsidRPr="00F90232" w:rsidRDefault="00794345" w:rsidP="005C10D7">
            <w:pPr>
              <w:pStyle w:val="Heading1"/>
              <w:spacing w:before="0" w:line="240" w:lineRule="auto"/>
              <w:rPr>
                <w:b/>
                <w:color w:val="auto"/>
              </w:rPr>
            </w:pPr>
            <w:bookmarkStart w:id="19" w:name="_Toc56757697"/>
            <w:r w:rsidRPr="00F90232">
              <w:rPr>
                <w:b/>
                <w:color w:val="auto"/>
              </w:rPr>
              <w:t>INDICATOR REF: CORP 8 - Percentage of invoices sampled that were paid within 30 days</w:t>
            </w:r>
            <w:bookmarkEnd w:id="19"/>
            <w:r w:rsidRPr="00F90232">
              <w:rPr>
                <w:b/>
                <w:color w:val="auto"/>
              </w:rPr>
              <w:t xml:space="preserve"> </w:t>
            </w:r>
            <w:r w:rsidRPr="00F90232">
              <w:rPr>
                <w:b/>
                <w:color w:val="auto"/>
              </w:rPr>
              <w:tab/>
            </w:r>
          </w:p>
        </w:tc>
      </w:tr>
      <w:tr w:rsidR="00794345" w14:paraId="76836ED2" w14:textId="77777777" w:rsidTr="005C10D7">
        <w:trPr>
          <w:trHeight w:val="45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0C96212D" w14:textId="07729734" w:rsidR="00794345" w:rsidRPr="00525319" w:rsidRDefault="00794345" w:rsidP="007D1A9D">
            <w:pPr>
              <w:spacing w:after="0" w:line="240" w:lineRule="auto"/>
              <w:jc w:val="center"/>
              <w:rPr>
                <w:b/>
                <w:color w:val="0070C0"/>
                <w:sz w:val="28"/>
                <w:szCs w:val="28"/>
              </w:rPr>
            </w:pPr>
            <w:r w:rsidRPr="00C577BD">
              <w:rPr>
                <w:b/>
                <w:color w:val="0070C0"/>
                <w:sz w:val="28"/>
                <w:szCs w:val="28"/>
              </w:rPr>
              <w:t>Performance Range:</w:t>
            </w:r>
            <w:r w:rsidRPr="004C7782">
              <w:rPr>
                <w:b/>
                <w:color w:val="0070C0"/>
                <w:sz w:val="28"/>
                <w:szCs w:val="28"/>
              </w:rPr>
              <w:t xml:space="preserve"> </w:t>
            </w:r>
            <w:r w:rsidR="00B12BC1">
              <w:rPr>
                <w:b/>
                <w:color w:val="0070C0"/>
                <w:sz w:val="28"/>
                <w:szCs w:val="28"/>
              </w:rPr>
              <w:t>80.49</w:t>
            </w:r>
            <w:r>
              <w:rPr>
                <w:b/>
                <w:color w:val="0070C0"/>
                <w:sz w:val="28"/>
                <w:szCs w:val="28"/>
              </w:rPr>
              <w:t xml:space="preserve">% to </w:t>
            </w:r>
            <w:r w:rsidR="00B12BC1">
              <w:rPr>
                <w:b/>
                <w:color w:val="0070C0"/>
                <w:sz w:val="28"/>
                <w:szCs w:val="28"/>
              </w:rPr>
              <w:t>98.34</w:t>
            </w:r>
            <w:r>
              <w:rPr>
                <w:b/>
                <w:color w:val="0070C0"/>
                <w:sz w:val="28"/>
                <w:szCs w:val="28"/>
              </w:rPr>
              <w:t xml:space="preserve">%  </w:t>
            </w:r>
            <w:r w:rsidRPr="005E2139">
              <w:rPr>
                <w:b/>
                <w:color w:val="0070C0"/>
                <w:sz w:val="28"/>
                <w:szCs w:val="28"/>
              </w:rPr>
              <w:t>(Highest is best)</w:t>
            </w:r>
          </w:p>
        </w:tc>
      </w:tr>
      <w:tr w:rsidR="00794345" w14:paraId="1141FD77" w14:textId="77777777" w:rsidTr="005C10D7">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B3F6653" w14:textId="77777777" w:rsidR="00794345" w:rsidRDefault="00794345" w:rsidP="005C10D7">
            <w:pPr>
              <w:spacing w:after="0" w:line="240" w:lineRule="auto"/>
              <w:jc w:val="center"/>
              <w:rPr>
                <w:b/>
                <w:sz w:val="28"/>
                <w:szCs w:val="28"/>
              </w:rPr>
            </w:pPr>
            <w:r>
              <w:rPr>
                <w:b/>
                <w:sz w:val="28"/>
                <w:szCs w:val="28"/>
              </w:rPr>
              <w:t>ARGYLL AND BUTE</w:t>
            </w:r>
          </w:p>
        </w:tc>
        <w:tc>
          <w:tcPr>
            <w:tcW w:w="780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A4557B1" w14:textId="77777777" w:rsidR="00794345" w:rsidRDefault="00794345" w:rsidP="005C10D7">
            <w:pPr>
              <w:spacing w:after="0" w:line="240" w:lineRule="auto"/>
              <w:jc w:val="center"/>
              <w:rPr>
                <w:b/>
                <w:sz w:val="28"/>
                <w:szCs w:val="28"/>
              </w:rPr>
            </w:pPr>
            <w:r>
              <w:rPr>
                <w:b/>
                <w:sz w:val="28"/>
                <w:szCs w:val="28"/>
              </w:rPr>
              <w:t>SCOTLAND</w:t>
            </w:r>
          </w:p>
        </w:tc>
      </w:tr>
      <w:tr w:rsidR="00794345" w14:paraId="4D94F997" w14:textId="77777777" w:rsidTr="005C10D7">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vAlign w:val="center"/>
          </w:tcPr>
          <w:p w14:paraId="2BA581BE" w14:textId="521F637B" w:rsidR="00794345" w:rsidRPr="0068094B" w:rsidRDefault="00B12BC1" w:rsidP="005C10D7">
            <w:pPr>
              <w:spacing w:after="0" w:line="240" w:lineRule="auto"/>
              <w:jc w:val="center"/>
              <w:rPr>
                <w:b/>
                <w:sz w:val="28"/>
                <w:szCs w:val="28"/>
              </w:rPr>
            </w:pPr>
            <w:r>
              <w:rPr>
                <w:b/>
                <w:sz w:val="28"/>
                <w:szCs w:val="28"/>
              </w:rPr>
              <w:t>97.12</w:t>
            </w:r>
            <w:r w:rsidR="007D1A9D">
              <w:rPr>
                <w:b/>
                <w:sz w:val="28"/>
                <w:szCs w:val="28"/>
              </w:rPr>
              <w:t>%</w:t>
            </w:r>
          </w:p>
        </w:tc>
        <w:tc>
          <w:tcPr>
            <w:tcW w:w="7801" w:type="dxa"/>
            <w:gridSpan w:val="2"/>
            <w:tcBorders>
              <w:top w:val="single" w:sz="4" w:space="0" w:color="auto"/>
              <w:left w:val="single" w:sz="4" w:space="0" w:color="auto"/>
              <w:bottom w:val="single" w:sz="4" w:space="0" w:color="auto"/>
              <w:right w:val="single" w:sz="4" w:space="0" w:color="auto"/>
            </w:tcBorders>
            <w:vAlign w:val="center"/>
          </w:tcPr>
          <w:p w14:paraId="076F22C1" w14:textId="33D40166" w:rsidR="00794345" w:rsidRDefault="00B12BC1" w:rsidP="005C10D7">
            <w:pPr>
              <w:spacing w:after="0" w:line="240" w:lineRule="auto"/>
              <w:jc w:val="center"/>
              <w:rPr>
                <w:b/>
                <w:sz w:val="28"/>
                <w:szCs w:val="28"/>
              </w:rPr>
            </w:pPr>
            <w:r>
              <w:rPr>
                <w:b/>
                <w:sz w:val="28"/>
                <w:szCs w:val="28"/>
              </w:rPr>
              <w:t>92.68</w:t>
            </w:r>
            <w:r w:rsidR="007D1A9D">
              <w:rPr>
                <w:b/>
                <w:sz w:val="28"/>
                <w:szCs w:val="28"/>
              </w:rPr>
              <w:t>%</w:t>
            </w:r>
          </w:p>
        </w:tc>
      </w:tr>
      <w:tr w:rsidR="00794345" w14:paraId="1333E9CD" w14:textId="77777777" w:rsidTr="005C10D7">
        <w:trPr>
          <w:trHeight w:val="397"/>
          <w:jc w:val="center"/>
        </w:trPr>
        <w:tc>
          <w:tcPr>
            <w:tcW w:w="5665" w:type="dxa"/>
            <w:tcBorders>
              <w:top w:val="single" w:sz="4" w:space="0" w:color="auto"/>
              <w:left w:val="single" w:sz="4" w:space="0" w:color="auto"/>
              <w:bottom w:val="single" w:sz="4" w:space="0" w:color="auto"/>
              <w:right w:val="single" w:sz="4" w:space="0" w:color="auto"/>
            </w:tcBorders>
            <w:vAlign w:val="center"/>
          </w:tcPr>
          <w:p w14:paraId="6737E786" w14:textId="0FFC6944" w:rsidR="00794345" w:rsidRPr="0068094B" w:rsidRDefault="00794345" w:rsidP="007D1A9D">
            <w:pPr>
              <w:spacing w:after="0" w:line="240" w:lineRule="auto"/>
              <w:jc w:val="center"/>
              <w:rPr>
                <w:b/>
                <w:sz w:val="28"/>
                <w:szCs w:val="28"/>
              </w:rPr>
            </w:pPr>
            <w:r w:rsidRPr="0068094B">
              <w:rPr>
                <w:b/>
                <w:sz w:val="28"/>
                <w:szCs w:val="28"/>
              </w:rPr>
              <w:t>CHANGE 201</w:t>
            </w:r>
            <w:r w:rsidR="007D1A9D">
              <w:rPr>
                <w:b/>
                <w:sz w:val="28"/>
                <w:szCs w:val="28"/>
              </w:rPr>
              <w:t>7</w:t>
            </w:r>
            <w:r w:rsidRPr="0068094B">
              <w:rPr>
                <w:b/>
                <w:sz w:val="28"/>
                <w:szCs w:val="28"/>
              </w:rPr>
              <w:t>/1</w:t>
            </w:r>
            <w:r w:rsidR="007D1A9D">
              <w:rPr>
                <w:b/>
                <w:sz w:val="28"/>
                <w:szCs w:val="28"/>
              </w:rPr>
              <w:t>8</w:t>
            </w:r>
            <w:r w:rsidRPr="0068094B">
              <w:rPr>
                <w:b/>
                <w:sz w:val="28"/>
                <w:szCs w:val="28"/>
              </w:rPr>
              <w:t xml:space="preserve"> TO 201</w:t>
            </w:r>
            <w:r w:rsidR="007D1A9D">
              <w:rPr>
                <w:b/>
                <w:sz w:val="28"/>
                <w:szCs w:val="28"/>
              </w:rPr>
              <w:t>8</w:t>
            </w:r>
            <w:r w:rsidRPr="0068094B">
              <w:rPr>
                <w:b/>
                <w:sz w:val="28"/>
                <w:szCs w:val="28"/>
              </w:rPr>
              <w:t>/1</w:t>
            </w:r>
            <w:r w:rsidR="007D1A9D">
              <w:rPr>
                <w:b/>
                <w:sz w:val="28"/>
                <w:szCs w:val="28"/>
              </w:rPr>
              <w:t>9</w:t>
            </w:r>
          </w:p>
        </w:tc>
        <w:tc>
          <w:tcPr>
            <w:tcW w:w="1843" w:type="dxa"/>
            <w:tcBorders>
              <w:top w:val="single" w:sz="4" w:space="0" w:color="auto"/>
              <w:left w:val="single" w:sz="4" w:space="0" w:color="auto"/>
              <w:bottom w:val="single" w:sz="4" w:space="0" w:color="auto"/>
              <w:right w:val="single" w:sz="4" w:space="0" w:color="auto"/>
            </w:tcBorders>
            <w:vAlign w:val="center"/>
          </w:tcPr>
          <w:p w14:paraId="66B9FF6E" w14:textId="1434451C" w:rsidR="00794345" w:rsidRPr="0068094B" w:rsidRDefault="00B12BC1" w:rsidP="005C10D7">
            <w:pPr>
              <w:spacing w:after="0" w:line="240" w:lineRule="auto"/>
              <w:jc w:val="center"/>
              <w:rPr>
                <w:b/>
                <w:sz w:val="28"/>
                <w:szCs w:val="28"/>
              </w:rPr>
            </w:pPr>
            <w:r>
              <w:rPr>
                <w:b/>
                <w:sz w:val="28"/>
                <w:szCs w:val="28"/>
              </w:rPr>
              <w:t>0.55</w:t>
            </w:r>
            <w:r w:rsidR="00447F05">
              <w:rPr>
                <w:b/>
                <w:sz w:val="28"/>
                <w:szCs w:val="28"/>
              </w:rPr>
              <w:t xml:space="preserve"> </w:t>
            </w:r>
            <w:r w:rsidR="00447F05" w:rsidRPr="00EC5E64">
              <w:rPr>
                <w:b/>
                <w:color w:val="00B050"/>
                <w:sz w:val="28"/>
                <w:szCs w:val="28"/>
              </w:rPr>
              <w:sym w:font="Wingdings" w:char="F0E9"/>
            </w:r>
          </w:p>
        </w:tc>
        <w:tc>
          <w:tcPr>
            <w:tcW w:w="5954" w:type="dxa"/>
            <w:tcBorders>
              <w:top w:val="single" w:sz="4" w:space="0" w:color="auto"/>
              <w:left w:val="single" w:sz="4" w:space="0" w:color="auto"/>
              <w:bottom w:val="single" w:sz="4" w:space="0" w:color="auto"/>
              <w:right w:val="single" w:sz="4" w:space="0" w:color="auto"/>
            </w:tcBorders>
            <w:vAlign w:val="center"/>
          </w:tcPr>
          <w:p w14:paraId="0889138E" w14:textId="7A514A5E" w:rsidR="00794345" w:rsidRPr="00561760" w:rsidRDefault="00794345" w:rsidP="007D1A9D">
            <w:pPr>
              <w:spacing w:after="0" w:line="240" w:lineRule="auto"/>
              <w:jc w:val="center"/>
              <w:rPr>
                <w:sz w:val="28"/>
                <w:szCs w:val="28"/>
              </w:rPr>
            </w:pPr>
            <w:r>
              <w:rPr>
                <w:sz w:val="28"/>
                <w:szCs w:val="28"/>
              </w:rPr>
              <w:t>CHANGE 201</w:t>
            </w:r>
            <w:r w:rsidR="007D1A9D">
              <w:rPr>
                <w:sz w:val="28"/>
                <w:szCs w:val="28"/>
              </w:rPr>
              <w:t>7</w:t>
            </w:r>
            <w:r>
              <w:rPr>
                <w:sz w:val="28"/>
                <w:szCs w:val="28"/>
              </w:rPr>
              <w:t>/1</w:t>
            </w:r>
            <w:r w:rsidR="007D1A9D">
              <w:rPr>
                <w:sz w:val="28"/>
                <w:szCs w:val="28"/>
              </w:rPr>
              <w:t>8</w:t>
            </w:r>
            <w:r>
              <w:rPr>
                <w:sz w:val="28"/>
                <w:szCs w:val="28"/>
              </w:rPr>
              <w:t xml:space="preserve"> TO 201</w:t>
            </w:r>
            <w:r w:rsidR="007D1A9D">
              <w:rPr>
                <w:sz w:val="28"/>
                <w:szCs w:val="28"/>
              </w:rPr>
              <w:t>8</w:t>
            </w:r>
            <w:r>
              <w:rPr>
                <w:sz w:val="28"/>
                <w:szCs w:val="28"/>
              </w:rPr>
              <w:t>/1</w:t>
            </w:r>
            <w:r w:rsidR="007D1A9D">
              <w:rPr>
                <w:sz w:val="28"/>
                <w:szCs w:val="28"/>
              </w:rPr>
              <w:t>9</w:t>
            </w:r>
          </w:p>
        </w:tc>
        <w:tc>
          <w:tcPr>
            <w:tcW w:w="1847" w:type="dxa"/>
            <w:tcBorders>
              <w:top w:val="single" w:sz="4" w:space="0" w:color="auto"/>
              <w:left w:val="single" w:sz="4" w:space="0" w:color="auto"/>
              <w:bottom w:val="single" w:sz="4" w:space="0" w:color="auto"/>
              <w:right w:val="single" w:sz="4" w:space="0" w:color="auto"/>
            </w:tcBorders>
            <w:vAlign w:val="center"/>
          </w:tcPr>
          <w:p w14:paraId="0DBFD3FB" w14:textId="260FABF2" w:rsidR="00794345" w:rsidRPr="00B12BC1" w:rsidRDefault="00447F05" w:rsidP="005C10D7">
            <w:pPr>
              <w:spacing w:after="0" w:line="240" w:lineRule="auto"/>
              <w:jc w:val="center"/>
              <w:rPr>
                <w:b/>
                <w:sz w:val="28"/>
                <w:szCs w:val="28"/>
                <w:highlight w:val="yellow"/>
              </w:rPr>
            </w:pPr>
            <w:r>
              <w:rPr>
                <w:sz w:val="28"/>
                <w:szCs w:val="28"/>
              </w:rPr>
              <w:t>-0.51</w:t>
            </w:r>
            <w:r w:rsidRPr="00447F05">
              <w:rPr>
                <w:sz w:val="28"/>
                <w:szCs w:val="28"/>
              </w:rPr>
              <w:t xml:space="preserve"> </w:t>
            </w:r>
            <w:r w:rsidRPr="00C14931">
              <w:rPr>
                <w:b/>
                <w:color w:val="FF0000"/>
                <w:sz w:val="28"/>
                <w:szCs w:val="28"/>
              </w:rPr>
              <w:sym w:font="Wingdings" w:char="F0EA"/>
            </w:r>
          </w:p>
        </w:tc>
      </w:tr>
      <w:tr w:rsidR="00794345" w14:paraId="3A4FFEEC" w14:textId="77777777" w:rsidTr="005C10D7">
        <w:trPr>
          <w:trHeight w:val="397"/>
          <w:jc w:val="center"/>
        </w:trPr>
        <w:tc>
          <w:tcPr>
            <w:tcW w:w="5665" w:type="dxa"/>
            <w:tcBorders>
              <w:top w:val="single" w:sz="4" w:space="0" w:color="auto"/>
              <w:left w:val="single" w:sz="4" w:space="0" w:color="auto"/>
              <w:bottom w:val="single" w:sz="4" w:space="0" w:color="auto"/>
              <w:right w:val="single" w:sz="4" w:space="0" w:color="auto"/>
            </w:tcBorders>
            <w:vAlign w:val="center"/>
          </w:tcPr>
          <w:p w14:paraId="499D17FE" w14:textId="0D2999C2" w:rsidR="00794345" w:rsidRPr="0068094B" w:rsidRDefault="00794345" w:rsidP="007D1A9D">
            <w:pPr>
              <w:spacing w:after="0" w:line="240" w:lineRule="auto"/>
              <w:jc w:val="center"/>
              <w:rPr>
                <w:b/>
                <w:sz w:val="28"/>
                <w:szCs w:val="28"/>
              </w:rPr>
            </w:pPr>
            <w:r w:rsidRPr="0068094B">
              <w:rPr>
                <w:b/>
                <w:sz w:val="28"/>
                <w:szCs w:val="28"/>
              </w:rPr>
              <w:t>CHANGE BASE YEAR TO 201</w:t>
            </w:r>
            <w:r w:rsidR="007D1A9D">
              <w:rPr>
                <w:b/>
                <w:sz w:val="28"/>
                <w:szCs w:val="28"/>
              </w:rPr>
              <w:t>8</w:t>
            </w:r>
            <w:r w:rsidRPr="0068094B">
              <w:rPr>
                <w:b/>
                <w:sz w:val="28"/>
                <w:szCs w:val="28"/>
              </w:rPr>
              <w:t>/1</w:t>
            </w:r>
            <w:r w:rsidR="007D1A9D">
              <w:rPr>
                <w:b/>
                <w:sz w:val="28"/>
                <w:szCs w:val="28"/>
              </w:rPr>
              <w:t>9</w:t>
            </w:r>
          </w:p>
        </w:tc>
        <w:tc>
          <w:tcPr>
            <w:tcW w:w="1843" w:type="dxa"/>
            <w:tcBorders>
              <w:top w:val="single" w:sz="4" w:space="0" w:color="auto"/>
              <w:left w:val="single" w:sz="4" w:space="0" w:color="auto"/>
              <w:bottom w:val="single" w:sz="4" w:space="0" w:color="auto"/>
              <w:right w:val="single" w:sz="4" w:space="0" w:color="auto"/>
            </w:tcBorders>
            <w:vAlign w:val="center"/>
          </w:tcPr>
          <w:p w14:paraId="2AAE3FCB" w14:textId="6333599A" w:rsidR="00794345" w:rsidRPr="0068094B" w:rsidRDefault="00B12BC1" w:rsidP="005C10D7">
            <w:pPr>
              <w:spacing w:after="0" w:line="240" w:lineRule="auto"/>
              <w:jc w:val="center"/>
              <w:rPr>
                <w:b/>
                <w:sz w:val="28"/>
                <w:szCs w:val="28"/>
              </w:rPr>
            </w:pPr>
            <w:r>
              <w:rPr>
                <w:b/>
                <w:sz w:val="28"/>
                <w:szCs w:val="28"/>
              </w:rPr>
              <w:t>8.13</w:t>
            </w:r>
            <w:r w:rsidR="00447F05">
              <w:rPr>
                <w:b/>
                <w:sz w:val="28"/>
                <w:szCs w:val="28"/>
              </w:rPr>
              <w:t xml:space="preserve"> </w:t>
            </w:r>
            <w:r w:rsidR="00447F05" w:rsidRPr="00EC5E64">
              <w:rPr>
                <w:b/>
                <w:color w:val="00B050"/>
                <w:sz w:val="28"/>
                <w:szCs w:val="28"/>
              </w:rPr>
              <w:sym w:font="Wingdings" w:char="F0E9"/>
            </w:r>
          </w:p>
        </w:tc>
        <w:tc>
          <w:tcPr>
            <w:tcW w:w="5954" w:type="dxa"/>
            <w:tcBorders>
              <w:top w:val="single" w:sz="4" w:space="0" w:color="auto"/>
              <w:left w:val="single" w:sz="4" w:space="0" w:color="auto"/>
              <w:bottom w:val="single" w:sz="4" w:space="0" w:color="auto"/>
              <w:right w:val="single" w:sz="4" w:space="0" w:color="auto"/>
            </w:tcBorders>
            <w:vAlign w:val="center"/>
          </w:tcPr>
          <w:p w14:paraId="79D22463" w14:textId="1B9EF069" w:rsidR="00794345" w:rsidRPr="00561760" w:rsidRDefault="00794345" w:rsidP="007D1A9D">
            <w:pPr>
              <w:spacing w:after="0" w:line="240" w:lineRule="auto"/>
              <w:jc w:val="center"/>
              <w:rPr>
                <w:sz w:val="28"/>
                <w:szCs w:val="28"/>
              </w:rPr>
            </w:pPr>
            <w:r>
              <w:rPr>
                <w:sz w:val="28"/>
                <w:szCs w:val="28"/>
              </w:rPr>
              <w:t>CHANGE BASE YEAR TO 201</w:t>
            </w:r>
            <w:r w:rsidR="007D1A9D">
              <w:rPr>
                <w:sz w:val="28"/>
                <w:szCs w:val="28"/>
              </w:rPr>
              <w:t>8</w:t>
            </w:r>
            <w:r>
              <w:rPr>
                <w:sz w:val="28"/>
                <w:szCs w:val="28"/>
              </w:rPr>
              <w:t>/1</w:t>
            </w:r>
            <w:r w:rsidR="007D1A9D">
              <w:rPr>
                <w:sz w:val="28"/>
                <w:szCs w:val="28"/>
              </w:rPr>
              <w:t>9</w:t>
            </w:r>
          </w:p>
        </w:tc>
        <w:tc>
          <w:tcPr>
            <w:tcW w:w="1847" w:type="dxa"/>
            <w:tcBorders>
              <w:top w:val="single" w:sz="4" w:space="0" w:color="auto"/>
              <w:left w:val="single" w:sz="4" w:space="0" w:color="auto"/>
              <w:bottom w:val="single" w:sz="4" w:space="0" w:color="auto"/>
              <w:right w:val="single" w:sz="4" w:space="0" w:color="auto"/>
            </w:tcBorders>
            <w:vAlign w:val="center"/>
          </w:tcPr>
          <w:p w14:paraId="0DCADB69" w14:textId="4C8B646D" w:rsidR="00794345" w:rsidRPr="00B12BC1" w:rsidRDefault="00447F05" w:rsidP="005C10D7">
            <w:pPr>
              <w:spacing w:after="0" w:line="240" w:lineRule="auto"/>
              <w:jc w:val="center"/>
              <w:rPr>
                <w:b/>
                <w:sz w:val="28"/>
                <w:szCs w:val="28"/>
                <w:highlight w:val="yellow"/>
              </w:rPr>
            </w:pPr>
            <w:r>
              <w:rPr>
                <w:sz w:val="28"/>
                <w:szCs w:val="28"/>
              </w:rPr>
              <w:t>3.15</w:t>
            </w:r>
            <w:r w:rsidRPr="00447F05">
              <w:rPr>
                <w:sz w:val="28"/>
                <w:szCs w:val="28"/>
              </w:rPr>
              <w:t xml:space="preserve"> </w:t>
            </w:r>
            <w:r w:rsidRPr="00EC5E64">
              <w:rPr>
                <w:b/>
                <w:color w:val="00B050"/>
                <w:sz w:val="28"/>
                <w:szCs w:val="28"/>
              </w:rPr>
              <w:sym w:font="Wingdings" w:char="F0E9"/>
            </w:r>
          </w:p>
        </w:tc>
      </w:tr>
      <w:tr w:rsidR="00794345" w14:paraId="56E7AD84" w14:textId="77777777" w:rsidTr="00B318EA">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vAlign w:val="center"/>
          </w:tcPr>
          <w:p w14:paraId="29F36AEB" w14:textId="48C06B80" w:rsidR="00794345" w:rsidRPr="0068094B" w:rsidRDefault="00794345" w:rsidP="007D1A9D">
            <w:pPr>
              <w:spacing w:after="0" w:line="240" w:lineRule="auto"/>
              <w:jc w:val="center"/>
              <w:rPr>
                <w:b/>
                <w:sz w:val="28"/>
                <w:szCs w:val="28"/>
              </w:rPr>
            </w:pPr>
            <w:r w:rsidRPr="0068094B">
              <w:rPr>
                <w:b/>
                <w:sz w:val="28"/>
                <w:szCs w:val="28"/>
              </w:rPr>
              <w:t>RANK POSITION:</w:t>
            </w:r>
            <w:r w:rsidRPr="00B12BC1">
              <w:rPr>
                <w:b/>
                <w:sz w:val="28"/>
                <w:szCs w:val="28"/>
              </w:rPr>
              <w:t xml:space="preserve">  </w:t>
            </w:r>
            <w:r w:rsidR="00B12BC1">
              <w:rPr>
                <w:b/>
                <w:sz w:val="28"/>
                <w:szCs w:val="28"/>
              </w:rPr>
              <w:t>2</w:t>
            </w:r>
            <w:r w:rsidRPr="00B12BC1">
              <w:rPr>
                <w:b/>
                <w:sz w:val="28"/>
                <w:szCs w:val="28"/>
              </w:rPr>
              <w:t xml:space="preserve">  </w:t>
            </w:r>
            <w:r w:rsidRPr="0068094B">
              <w:rPr>
                <w:b/>
                <w:sz w:val="28"/>
                <w:szCs w:val="28"/>
              </w:rPr>
              <w:t xml:space="preserve">RANK MOVEMENT: </w:t>
            </w:r>
            <w:r w:rsidR="00B12BC1">
              <w:rPr>
                <w:b/>
                <w:sz w:val="28"/>
                <w:szCs w:val="28"/>
              </w:rPr>
              <w:t>3</w:t>
            </w:r>
            <w:r w:rsidR="00447F05">
              <w:rPr>
                <w:b/>
                <w:sz w:val="28"/>
                <w:szCs w:val="28"/>
              </w:rPr>
              <w:t xml:space="preserve"> </w:t>
            </w:r>
            <w:r w:rsidR="00447F05" w:rsidRPr="00EC5E64">
              <w:rPr>
                <w:b/>
                <w:color w:val="00B050"/>
                <w:sz w:val="28"/>
                <w:szCs w:val="28"/>
              </w:rPr>
              <w:sym w:font="Wingdings" w:char="F0E9"/>
            </w:r>
          </w:p>
        </w:tc>
        <w:tc>
          <w:tcPr>
            <w:tcW w:w="780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7A598246" w14:textId="77777777" w:rsidR="00794345" w:rsidRPr="00561760" w:rsidRDefault="00794345" w:rsidP="005C10D7">
            <w:pPr>
              <w:spacing w:after="0" w:line="240" w:lineRule="auto"/>
              <w:rPr>
                <w:sz w:val="28"/>
                <w:szCs w:val="28"/>
              </w:rPr>
            </w:pPr>
          </w:p>
        </w:tc>
      </w:tr>
      <w:tr w:rsidR="00794345" w14:paraId="45721664" w14:textId="77777777" w:rsidTr="00B318EA">
        <w:trPr>
          <w:trHeight w:val="397"/>
          <w:jc w:val="center"/>
        </w:trPr>
        <w:tc>
          <w:tcPr>
            <w:tcW w:w="7508"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10F884FC" w14:textId="448D1C47" w:rsidR="00794345" w:rsidRPr="0068094B" w:rsidRDefault="00794345" w:rsidP="007D1A9D">
            <w:pPr>
              <w:spacing w:after="0" w:line="240" w:lineRule="auto"/>
              <w:jc w:val="center"/>
              <w:rPr>
                <w:b/>
                <w:sz w:val="28"/>
                <w:szCs w:val="28"/>
              </w:rPr>
            </w:pPr>
            <w:r>
              <w:rPr>
                <w:b/>
                <w:sz w:val="28"/>
                <w:szCs w:val="28"/>
              </w:rPr>
              <w:t>FAMILY GROUP RANKING 201</w:t>
            </w:r>
            <w:r w:rsidR="007D1A9D">
              <w:rPr>
                <w:b/>
                <w:sz w:val="28"/>
                <w:szCs w:val="28"/>
              </w:rPr>
              <w:t>8</w:t>
            </w:r>
            <w:r>
              <w:rPr>
                <w:b/>
                <w:sz w:val="28"/>
                <w:szCs w:val="28"/>
              </w:rPr>
              <w:t>/1</w:t>
            </w:r>
            <w:r w:rsidR="007D1A9D">
              <w:rPr>
                <w:b/>
                <w:sz w:val="28"/>
                <w:szCs w:val="28"/>
              </w:rPr>
              <w:t>9</w:t>
            </w:r>
          </w:p>
        </w:tc>
        <w:tc>
          <w:tcPr>
            <w:tcW w:w="7801" w:type="dxa"/>
            <w:gridSpan w:val="2"/>
            <w:tcBorders>
              <w:left w:val="single" w:sz="4" w:space="0" w:color="auto"/>
              <w:right w:val="single" w:sz="4" w:space="0" w:color="auto"/>
            </w:tcBorders>
            <w:shd w:val="clear" w:color="auto" w:fill="D9D9D9" w:themeFill="background1" w:themeFillShade="D9"/>
            <w:vAlign w:val="center"/>
          </w:tcPr>
          <w:p w14:paraId="29127DD5" w14:textId="77777777" w:rsidR="00794345" w:rsidRPr="00561760" w:rsidRDefault="00794345" w:rsidP="005C10D7">
            <w:pPr>
              <w:spacing w:after="0" w:line="240" w:lineRule="auto"/>
              <w:rPr>
                <w:sz w:val="28"/>
                <w:szCs w:val="28"/>
              </w:rPr>
            </w:pPr>
          </w:p>
        </w:tc>
      </w:tr>
      <w:tr w:rsidR="00794345" w14:paraId="04E04238" w14:textId="77777777" w:rsidTr="00B318EA">
        <w:trPr>
          <w:trHeight w:val="397"/>
          <w:jc w:val="center"/>
        </w:trPr>
        <w:tc>
          <w:tcPr>
            <w:tcW w:w="7508" w:type="dxa"/>
            <w:gridSpan w:val="2"/>
            <w:tcBorders>
              <w:left w:val="single" w:sz="4" w:space="0" w:color="auto"/>
              <w:bottom w:val="single" w:sz="4" w:space="0" w:color="auto"/>
              <w:right w:val="single" w:sz="4" w:space="0" w:color="auto"/>
            </w:tcBorders>
            <w:shd w:val="clear" w:color="auto" w:fill="D9E2F3" w:themeFill="accent5" w:themeFillTint="33"/>
            <w:vAlign w:val="center"/>
          </w:tcPr>
          <w:p w14:paraId="44D1D524" w14:textId="7EC7159D" w:rsidR="00794345" w:rsidRDefault="00794345" w:rsidP="007D1A9D">
            <w:pPr>
              <w:spacing w:after="0" w:line="240" w:lineRule="auto"/>
              <w:jc w:val="center"/>
              <w:rPr>
                <w:b/>
                <w:sz w:val="28"/>
                <w:szCs w:val="28"/>
              </w:rPr>
            </w:pPr>
            <w:r>
              <w:rPr>
                <w:b/>
                <w:sz w:val="28"/>
                <w:szCs w:val="28"/>
              </w:rPr>
              <w:t xml:space="preserve">RANK POSITION: </w:t>
            </w:r>
            <w:r w:rsidR="00B12BC1">
              <w:rPr>
                <w:b/>
                <w:sz w:val="28"/>
                <w:szCs w:val="28"/>
              </w:rPr>
              <w:t>1</w:t>
            </w:r>
            <w:r>
              <w:rPr>
                <w:b/>
                <w:sz w:val="28"/>
                <w:szCs w:val="28"/>
              </w:rPr>
              <w:t xml:space="preserve">   RANK MOVEMENT: </w:t>
            </w:r>
            <w:r w:rsidR="00B12BC1">
              <w:rPr>
                <w:b/>
                <w:sz w:val="28"/>
                <w:szCs w:val="28"/>
              </w:rPr>
              <w:t>0</w:t>
            </w:r>
            <w:r w:rsidR="00447F05">
              <w:rPr>
                <w:b/>
                <w:sz w:val="28"/>
                <w:szCs w:val="28"/>
              </w:rPr>
              <w:t xml:space="preserve"> </w:t>
            </w:r>
            <w:r w:rsidR="00447F05" w:rsidRPr="00A83E3B">
              <w:rPr>
                <w:b/>
                <w:color w:val="0070C0"/>
                <w:sz w:val="28"/>
                <w:szCs w:val="28"/>
              </w:rPr>
              <w:sym w:font="Wingdings" w:char="F0E8"/>
            </w:r>
          </w:p>
        </w:tc>
        <w:tc>
          <w:tcPr>
            <w:tcW w:w="7801"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40EAA59D" w14:textId="77777777" w:rsidR="00794345" w:rsidRPr="00561760" w:rsidRDefault="00794345" w:rsidP="005C10D7">
            <w:pPr>
              <w:spacing w:after="0" w:line="240" w:lineRule="auto"/>
              <w:rPr>
                <w:sz w:val="28"/>
                <w:szCs w:val="28"/>
              </w:rPr>
            </w:pPr>
          </w:p>
        </w:tc>
      </w:tr>
      <w:tr w:rsidR="00794345" w14:paraId="5E5BABA2" w14:textId="77777777" w:rsidTr="005C10D7">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2A590B14" w14:textId="5577D213" w:rsidR="00794345" w:rsidRPr="006F20EA" w:rsidRDefault="00794345" w:rsidP="005C10D7">
            <w:pPr>
              <w:spacing w:after="0" w:line="240" w:lineRule="auto"/>
              <w:rPr>
                <w:sz w:val="6"/>
                <w:szCs w:val="6"/>
              </w:rPr>
            </w:pPr>
          </w:p>
          <w:p w14:paraId="350AC29A" w14:textId="77777777" w:rsidR="00794345" w:rsidRPr="00746CCC" w:rsidRDefault="00794345" w:rsidP="000F4CDF">
            <w:pPr>
              <w:spacing w:after="120" w:line="240" w:lineRule="auto"/>
              <w:rPr>
                <w:b/>
                <w:sz w:val="28"/>
                <w:szCs w:val="28"/>
              </w:rPr>
            </w:pPr>
            <w:r w:rsidRPr="00746CCC">
              <w:rPr>
                <w:b/>
                <w:sz w:val="28"/>
                <w:szCs w:val="28"/>
              </w:rPr>
              <w:t>TELLING OUR STORY:</w:t>
            </w:r>
          </w:p>
          <w:p w14:paraId="5A40E05E" w14:textId="195A7B89" w:rsidR="002879AE" w:rsidRPr="001453C3" w:rsidRDefault="002879AE" w:rsidP="000F4CDF">
            <w:pPr>
              <w:spacing w:after="120" w:line="240" w:lineRule="auto"/>
              <w:rPr>
                <w:rFonts w:cstheme="minorHAnsi"/>
                <w:sz w:val="24"/>
                <w:szCs w:val="24"/>
              </w:rPr>
            </w:pPr>
            <w:r w:rsidRPr="001453C3">
              <w:rPr>
                <w:rFonts w:cstheme="minorHAnsi"/>
                <w:sz w:val="24"/>
                <w:szCs w:val="24"/>
              </w:rPr>
              <w:t>This is the fourth consecutive year that performance has improved, and the fourth consecutive year in which performance has been higher than the Scottish average.</w:t>
            </w:r>
          </w:p>
          <w:p w14:paraId="70C2F878" w14:textId="02C2FE12" w:rsidR="002879AE" w:rsidRPr="001453C3" w:rsidRDefault="002879AE" w:rsidP="000F4CDF">
            <w:pPr>
              <w:spacing w:after="120" w:line="240" w:lineRule="auto"/>
              <w:rPr>
                <w:rFonts w:cstheme="minorHAnsi"/>
                <w:sz w:val="24"/>
                <w:szCs w:val="24"/>
              </w:rPr>
            </w:pPr>
            <w:r w:rsidRPr="001453C3">
              <w:rPr>
                <w:rFonts w:cstheme="minorHAnsi"/>
                <w:sz w:val="24"/>
                <w:szCs w:val="24"/>
              </w:rPr>
              <w:t>Note that Argyll and Bute's family group ranking is 1 for the second year running.</w:t>
            </w:r>
          </w:p>
          <w:p w14:paraId="75B5E694" w14:textId="77777777" w:rsidR="002879AE" w:rsidRPr="005543B2" w:rsidRDefault="002879AE" w:rsidP="007D1A9D">
            <w:pPr>
              <w:spacing w:after="0" w:line="240" w:lineRule="auto"/>
              <w:rPr>
                <w:rFonts w:ascii="Arial" w:hAnsi="Arial" w:cs="Arial"/>
                <w:szCs w:val="24"/>
              </w:rPr>
            </w:pPr>
          </w:p>
        </w:tc>
      </w:tr>
      <w:tr w:rsidR="00794345" w14:paraId="306EF75D" w14:textId="77777777" w:rsidTr="005C10D7">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7DD44708" w14:textId="662F2C24" w:rsidR="00794345" w:rsidRPr="006F20EA" w:rsidRDefault="00794345" w:rsidP="005C10D7">
            <w:pPr>
              <w:spacing w:after="0" w:line="240" w:lineRule="auto"/>
              <w:rPr>
                <w:sz w:val="6"/>
                <w:szCs w:val="6"/>
              </w:rPr>
            </w:pPr>
          </w:p>
          <w:p w14:paraId="53B5EE4C" w14:textId="77777777" w:rsidR="00794345" w:rsidRDefault="00794345" w:rsidP="005C10D7">
            <w:pPr>
              <w:spacing w:after="0" w:line="240" w:lineRule="auto"/>
              <w:rPr>
                <w:b/>
                <w:sz w:val="28"/>
                <w:szCs w:val="28"/>
              </w:rPr>
            </w:pPr>
            <w:r>
              <w:rPr>
                <w:b/>
                <w:sz w:val="28"/>
                <w:szCs w:val="28"/>
              </w:rPr>
              <w:t>LOOKING FORWARD - EXPECTED IMPACT ON INDICATOR</w:t>
            </w:r>
            <w:r w:rsidRPr="00441B4F">
              <w:rPr>
                <w:b/>
                <w:sz w:val="28"/>
                <w:szCs w:val="28"/>
              </w:rPr>
              <w:t>:</w:t>
            </w:r>
          </w:p>
          <w:p w14:paraId="7792A983" w14:textId="77777777" w:rsidR="00794345" w:rsidRDefault="00794345" w:rsidP="005C10D7">
            <w:pPr>
              <w:spacing w:after="0" w:line="240" w:lineRule="auto"/>
              <w:rPr>
                <w:rFonts w:ascii="Arial" w:hAnsi="Arial" w:cs="Arial"/>
                <w:szCs w:val="24"/>
              </w:rPr>
            </w:pPr>
          </w:p>
          <w:p w14:paraId="34EF94E0" w14:textId="77777777" w:rsidR="003F00D3" w:rsidRPr="003F00D3" w:rsidRDefault="003F00D3" w:rsidP="003F00D3">
            <w:pPr>
              <w:spacing w:after="0" w:line="240" w:lineRule="auto"/>
              <w:rPr>
                <w:rFonts w:cstheme="minorHAnsi"/>
                <w:sz w:val="24"/>
                <w:szCs w:val="24"/>
              </w:rPr>
            </w:pPr>
            <w:r w:rsidRPr="003F00D3">
              <w:rPr>
                <w:rFonts w:cstheme="minorHAnsi"/>
                <w:sz w:val="24"/>
                <w:szCs w:val="24"/>
              </w:rPr>
              <w:t>The council has continued to perform above its target of paying 95.5% of invoices within 30 days.</w:t>
            </w:r>
          </w:p>
          <w:p w14:paraId="3ABD47F5" w14:textId="77777777" w:rsidR="003F00D3" w:rsidRPr="003F00D3" w:rsidRDefault="003F00D3" w:rsidP="003F00D3">
            <w:pPr>
              <w:spacing w:after="0" w:line="240" w:lineRule="auto"/>
              <w:rPr>
                <w:rFonts w:cstheme="minorHAnsi"/>
                <w:sz w:val="24"/>
                <w:szCs w:val="24"/>
              </w:rPr>
            </w:pPr>
          </w:p>
          <w:p w14:paraId="48139AAB" w14:textId="17658FBE" w:rsidR="003F00D3" w:rsidRDefault="003F00D3" w:rsidP="003F00D3">
            <w:pPr>
              <w:spacing w:after="0" w:line="240" w:lineRule="auto"/>
              <w:rPr>
                <w:rFonts w:cstheme="minorHAnsi"/>
                <w:sz w:val="24"/>
                <w:szCs w:val="24"/>
              </w:rPr>
            </w:pPr>
            <w:r w:rsidRPr="003F00D3">
              <w:rPr>
                <w:rFonts w:cstheme="minorHAnsi"/>
                <w:sz w:val="24"/>
                <w:szCs w:val="24"/>
              </w:rPr>
              <w:t xml:space="preserve">During the </w:t>
            </w:r>
            <w:r w:rsidR="00A95B6B">
              <w:rPr>
                <w:rFonts w:cstheme="minorHAnsi"/>
                <w:sz w:val="24"/>
                <w:szCs w:val="24"/>
              </w:rPr>
              <w:t>COVID</w:t>
            </w:r>
            <w:r w:rsidRPr="003F00D3">
              <w:rPr>
                <w:rFonts w:cstheme="minorHAnsi"/>
                <w:sz w:val="24"/>
                <w:szCs w:val="24"/>
              </w:rPr>
              <w:t xml:space="preserve">-19 pandemic, the council has, in line with an instruction from Scottish Government, moved to pay invoices upon receipt. This change in working practice, and </w:t>
            </w:r>
            <w:r>
              <w:rPr>
                <w:rFonts w:cstheme="minorHAnsi"/>
                <w:sz w:val="24"/>
                <w:szCs w:val="24"/>
              </w:rPr>
              <w:t xml:space="preserve">any reduction in </w:t>
            </w:r>
            <w:r w:rsidRPr="003F00D3">
              <w:rPr>
                <w:rFonts w:cstheme="minorHAnsi"/>
                <w:sz w:val="24"/>
                <w:szCs w:val="24"/>
              </w:rPr>
              <w:t>turn around time, will not be reflected in th</w:t>
            </w:r>
            <w:r>
              <w:rPr>
                <w:rFonts w:cstheme="minorHAnsi"/>
                <w:sz w:val="24"/>
                <w:szCs w:val="24"/>
              </w:rPr>
              <w:t>is measure</w:t>
            </w:r>
            <w:r w:rsidRPr="003F00D3">
              <w:rPr>
                <w:rFonts w:cstheme="minorHAnsi"/>
                <w:sz w:val="24"/>
                <w:szCs w:val="24"/>
              </w:rPr>
              <w:t>.</w:t>
            </w:r>
          </w:p>
          <w:p w14:paraId="2B2E75EE" w14:textId="7BECD77C" w:rsidR="003F00D3" w:rsidRPr="005543B2" w:rsidRDefault="003F00D3" w:rsidP="003F00D3">
            <w:pPr>
              <w:spacing w:after="0" w:line="240" w:lineRule="auto"/>
              <w:rPr>
                <w:rFonts w:ascii="Arial" w:hAnsi="Arial" w:cs="Arial"/>
                <w:szCs w:val="24"/>
              </w:rPr>
            </w:pPr>
          </w:p>
        </w:tc>
      </w:tr>
    </w:tbl>
    <w:p w14:paraId="6169AFF5" w14:textId="77777777" w:rsidR="001D6373" w:rsidRDefault="001D6373">
      <w:r>
        <w:br w:type="page"/>
      </w:r>
    </w:p>
    <w:p w14:paraId="0C1C8F91" w14:textId="578AC6B0" w:rsidR="00473295" w:rsidRPr="009462B0" w:rsidRDefault="00473295" w:rsidP="00473295">
      <w:pPr>
        <w:pStyle w:val="Heading2"/>
        <w:jc w:val="center"/>
        <w:rPr>
          <w:b/>
          <w:color w:val="auto"/>
          <w:sz w:val="52"/>
          <w:szCs w:val="52"/>
        </w:rPr>
      </w:pPr>
      <w:bookmarkStart w:id="20" w:name="_Toc56757698"/>
      <w:r w:rsidRPr="009462B0">
        <w:rPr>
          <w:b/>
          <w:color w:val="auto"/>
          <w:sz w:val="52"/>
          <w:szCs w:val="52"/>
        </w:rPr>
        <w:lastRenderedPageBreak/>
        <w:t>COMMERCIAL SERVICES</w:t>
      </w:r>
      <w:bookmarkEnd w:id="20"/>
    </w:p>
    <w:tbl>
      <w:tblPr>
        <w:tblW w:w="15309" w:type="dxa"/>
        <w:jc w:val="center"/>
        <w:tblLook w:val="04A0" w:firstRow="1" w:lastRow="0" w:firstColumn="1" w:lastColumn="0" w:noHBand="0" w:noVBand="1"/>
      </w:tblPr>
      <w:tblGrid>
        <w:gridCol w:w="5807"/>
        <w:gridCol w:w="1701"/>
        <w:gridCol w:w="5812"/>
        <w:gridCol w:w="1989"/>
      </w:tblGrid>
      <w:tr w:rsidR="006452B6" w:rsidRPr="005D65E6" w14:paraId="5B76B0E2" w14:textId="77777777" w:rsidTr="006452B6">
        <w:trPr>
          <w:trHeight w:val="79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2C051EAE" w14:textId="0644DCF9" w:rsidR="006452B6" w:rsidRPr="005D65E6" w:rsidRDefault="001D6373" w:rsidP="005D65E6">
            <w:pPr>
              <w:rPr>
                <w:b/>
                <w:sz w:val="32"/>
              </w:rPr>
            </w:pPr>
            <w:r>
              <w:rPr>
                <w:b/>
                <w:sz w:val="32"/>
              </w:rPr>
              <w:t>S</w:t>
            </w:r>
            <w:r w:rsidR="00473295">
              <w:rPr>
                <w:b/>
                <w:sz w:val="32"/>
              </w:rPr>
              <w:t>ERVICE: COMMERCIAL</w:t>
            </w:r>
            <w:r w:rsidR="006452B6" w:rsidRPr="005D65E6">
              <w:rPr>
                <w:b/>
                <w:sz w:val="32"/>
              </w:rPr>
              <w:t xml:space="preserve"> SERVICES</w:t>
            </w:r>
          </w:p>
        </w:tc>
      </w:tr>
      <w:tr w:rsidR="00365C5A" w:rsidRPr="008E3A46" w14:paraId="2A373CF1" w14:textId="77777777" w:rsidTr="004B0D92">
        <w:trPr>
          <w:trHeight w:val="567"/>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736CA65D" w14:textId="77777777" w:rsidR="00365C5A" w:rsidRPr="008E3A46" w:rsidRDefault="00365C5A" w:rsidP="009A329B">
            <w:pPr>
              <w:pStyle w:val="Heading1"/>
              <w:spacing w:before="0" w:line="240" w:lineRule="auto"/>
              <w:rPr>
                <w:b/>
                <w:color w:val="auto"/>
                <w:sz w:val="28"/>
                <w:szCs w:val="28"/>
              </w:rPr>
            </w:pPr>
            <w:bookmarkStart w:id="21" w:name="_Toc56757699"/>
            <w:r w:rsidRPr="008E3A46">
              <w:rPr>
                <w:rFonts w:cstheme="majorHAnsi"/>
                <w:b/>
                <w:color w:val="auto"/>
              </w:rPr>
              <w:t>IN</w:t>
            </w:r>
            <w:r w:rsidR="004F2CC9" w:rsidRPr="008E3A46">
              <w:rPr>
                <w:rStyle w:val="Heading1Char"/>
                <w:b/>
                <w:color w:val="auto"/>
              </w:rPr>
              <w:t>DICATOR REF: ECON 4 - Percentage</w:t>
            </w:r>
            <w:r w:rsidRPr="008E3A46">
              <w:rPr>
                <w:rStyle w:val="Heading1Char"/>
                <w:b/>
                <w:color w:val="auto"/>
              </w:rPr>
              <w:t xml:space="preserve"> of procurement spent on local enterprises</w:t>
            </w:r>
            <w:bookmarkEnd w:id="21"/>
            <w:r w:rsidR="00E10B0A" w:rsidRPr="008E3A46">
              <w:rPr>
                <w:rStyle w:val="Heading1Char"/>
                <w:b/>
                <w:color w:val="auto"/>
              </w:rPr>
              <w:t xml:space="preserve"> </w:t>
            </w:r>
            <w:r w:rsidR="00E10B0A" w:rsidRPr="008E3A46">
              <w:rPr>
                <w:rStyle w:val="Heading1Char"/>
                <w:b/>
                <w:color w:val="auto"/>
              </w:rPr>
              <w:tab/>
            </w:r>
          </w:p>
        </w:tc>
      </w:tr>
      <w:tr w:rsidR="008F2E9A" w14:paraId="6CE416EB" w14:textId="77777777" w:rsidTr="004B0D92">
        <w:trPr>
          <w:trHeight w:val="45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2429A678" w14:textId="350B5904" w:rsidR="008F2E9A" w:rsidRDefault="008F2E9A" w:rsidP="009462B0">
            <w:pPr>
              <w:spacing w:after="0" w:line="240" w:lineRule="auto"/>
              <w:jc w:val="center"/>
              <w:rPr>
                <w:b/>
                <w:sz w:val="28"/>
                <w:szCs w:val="28"/>
              </w:rPr>
            </w:pPr>
            <w:r w:rsidRPr="00C577BD">
              <w:rPr>
                <w:b/>
                <w:color w:val="0070C0"/>
                <w:sz w:val="28"/>
                <w:szCs w:val="28"/>
              </w:rPr>
              <w:t>Performance Range:</w:t>
            </w:r>
            <w:r w:rsidR="0016449F">
              <w:rPr>
                <w:b/>
                <w:color w:val="0070C0"/>
                <w:sz w:val="28"/>
                <w:szCs w:val="28"/>
              </w:rPr>
              <w:t xml:space="preserve"> </w:t>
            </w:r>
            <w:r w:rsidR="009462B0">
              <w:rPr>
                <w:b/>
                <w:color w:val="0070C0"/>
                <w:sz w:val="28"/>
                <w:szCs w:val="28"/>
              </w:rPr>
              <w:t>8.90%</w:t>
            </w:r>
            <w:r w:rsidR="00525319">
              <w:rPr>
                <w:b/>
                <w:color w:val="0070C0"/>
                <w:sz w:val="28"/>
                <w:szCs w:val="28"/>
              </w:rPr>
              <w:t xml:space="preserve"> to </w:t>
            </w:r>
            <w:r w:rsidR="009462B0">
              <w:rPr>
                <w:b/>
                <w:color w:val="0070C0"/>
                <w:sz w:val="28"/>
                <w:szCs w:val="28"/>
              </w:rPr>
              <w:t>48.86</w:t>
            </w:r>
            <w:r w:rsidR="00525319">
              <w:rPr>
                <w:b/>
                <w:color w:val="0070C0"/>
                <w:sz w:val="28"/>
                <w:szCs w:val="28"/>
              </w:rPr>
              <w:t>%</w:t>
            </w:r>
            <w:r w:rsidR="005E2139">
              <w:rPr>
                <w:b/>
                <w:color w:val="0070C0"/>
                <w:sz w:val="28"/>
                <w:szCs w:val="28"/>
              </w:rPr>
              <w:t xml:space="preserve">  </w:t>
            </w:r>
            <w:r w:rsidR="005E2139" w:rsidRPr="005E2139">
              <w:rPr>
                <w:b/>
                <w:color w:val="0070C0"/>
                <w:sz w:val="28"/>
                <w:szCs w:val="28"/>
              </w:rPr>
              <w:t>(Highest is best)</w:t>
            </w:r>
          </w:p>
        </w:tc>
      </w:tr>
      <w:tr w:rsidR="00365C5A" w14:paraId="740832C6" w14:textId="77777777" w:rsidTr="00E83409">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5502099" w14:textId="77777777" w:rsidR="00365C5A" w:rsidRDefault="00365C5A" w:rsidP="009A329B">
            <w:pPr>
              <w:spacing w:after="0" w:line="240" w:lineRule="auto"/>
              <w:jc w:val="center"/>
              <w:rPr>
                <w:b/>
                <w:sz w:val="28"/>
                <w:szCs w:val="28"/>
              </w:rPr>
            </w:pPr>
            <w:r>
              <w:rPr>
                <w:b/>
                <w:sz w:val="28"/>
                <w:szCs w:val="28"/>
              </w:rPr>
              <w:t>ARGYLL AND BUTE</w:t>
            </w:r>
          </w:p>
        </w:tc>
        <w:tc>
          <w:tcPr>
            <w:tcW w:w="780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DFF3E5C" w14:textId="77777777" w:rsidR="00365C5A" w:rsidRDefault="00365C5A" w:rsidP="009A329B">
            <w:pPr>
              <w:spacing w:after="0" w:line="240" w:lineRule="auto"/>
              <w:jc w:val="center"/>
              <w:rPr>
                <w:b/>
                <w:sz w:val="28"/>
                <w:szCs w:val="28"/>
              </w:rPr>
            </w:pPr>
            <w:r>
              <w:rPr>
                <w:b/>
                <w:sz w:val="28"/>
                <w:szCs w:val="28"/>
              </w:rPr>
              <w:t>SCOTLAND</w:t>
            </w:r>
          </w:p>
        </w:tc>
      </w:tr>
      <w:tr w:rsidR="00365C5A" w14:paraId="2036DF64" w14:textId="77777777" w:rsidTr="004B0D92">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vAlign w:val="center"/>
          </w:tcPr>
          <w:p w14:paraId="7990D0BC" w14:textId="0F62BEEE" w:rsidR="00365C5A" w:rsidRPr="0068094B" w:rsidRDefault="009462B0" w:rsidP="009A329B">
            <w:pPr>
              <w:spacing w:after="0" w:line="240" w:lineRule="auto"/>
              <w:jc w:val="center"/>
              <w:rPr>
                <w:b/>
                <w:sz w:val="28"/>
                <w:szCs w:val="28"/>
              </w:rPr>
            </w:pPr>
            <w:r>
              <w:rPr>
                <w:b/>
                <w:sz w:val="28"/>
                <w:szCs w:val="28"/>
              </w:rPr>
              <w:t>28.00</w:t>
            </w:r>
            <w:r w:rsidR="007D1A9D">
              <w:rPr>
                <w:b/>
                <w:sz w:val="28"/>
                <w:szCs w:val="28"/>
              </w:rPr>
              <w:t>%</w:t>
            </w:r>
          </w:p>
        </w:tc>
        <w:tc>
          <w:tcPr>
            <w:tcW w:w="7801" w:type="dxa"/>
            <w:gridSpan w:val="2"/>
            <w:tcBorders>
              <w:top w:val="single" w:sz="4" w:space="0" w:color="auto"/>
              <w:left w:val="single" w:sz="4" w:space="0" w:color="auto"/>
              <w:bottom w:val="single" w:sz="4" w:space="0" w:color="auto"/>
              <w:right w:val="single" w:sz="4" w:space="0" w:color="auto"/>
            </w:tcBorders>
            <w:vAlign w:val="center"/>
          </w:tcPr>
          <w:p w14:paraId="43A4B169" w14:textId="5C6CD1DF" w:rsidR="00365C5A" w:rsidRDefault="009462B0" w:rsidP="009A329B">
            <w:pPr>
              <w:spacing w:after="0" w:line="240" w:lineRule="auto"/>
              <w:jc w:val="center"/>
              <w:rPr>
                <w:b/>
                <w:sz w:val="28"/>
                <w:szCs w:val="28"/>
              </w:rPr>
            </w:pPr>
            <w:r>
              <w:rPr>
                <w:b/>
                <w:sz w:val="28"/>
                <w:szCs w:val="28"/>
              </w:rPr>
              <w:t>28.71</w:t>
            </w:r>
            <w:r w:rsidR="007D1A9D">
              <w:rPr>
                <w:b/>
                <w:sz w:val="28"/>
                <w:szCs w:val="28"/>
              </w:rPr>
              <w:t>%</w:t>
            </w:r>
          </w:p>
        </w:tc>
      </w:tr>
      <w:tr w:rsidR="002A7D10" w14:paraId="1D3F06AF" w14:textId="77777777" w:rsidTr="004B0D92">
        <w:trPr>
          <w:trHeight w:val="397"/>
          <w:jc w:val="center"/>
        </w:trPr>
        <w:tc>
          <w:tcPr>
            <w:tcW w:w="5807" w:type="dxa"/>
            <w:tcBorders>
              <w:top w:val="single" w:sz="4" w:space="0" w:color="auto"/>
              <w:left w:val="single" w:sz="4" w:space="0" w:color="auto"/>
              <w:bottom w:val="single" w:sz="4" w:space="0" w:color="auto"/>
              <w:right w:val="single" w:sz="4" w:space="0" w:color="auto"/>
            </w:tcBorders>
            <w:vAlign w:val="center"/>
          </w:tcPr>
          <w:p w14:paraId="7424B56C" w14:textId="2A357919" w:rsidR="002A7D10" w:rsidRPr="0068094B" w:rsidRDefault="002A7D10" w:rsidP="007D1A9D">
            <w:pPr>
              <w:spacing w:after="0" w:line="240" w:lineRule="auto"/>
              <w:jc w:val="center"/>
              <w:rPr>
                <w:b/>
                <w:sz w:val="28"/>
                <w:szCs w:val="28"/>
              </w:rPr>
            </w:pPr>
            <w:r w:rsidRPr="0068094B">
              <w:rPr>
                <w:b/>
                <w:sz w:val="28"/>
                <w:szCs w:val="28"/>
              </w:rPr>
              <w:t>CHANGE 201</w:t>
            </w:r>
            <w:r w:rsidR="007D1A9D">
              <w:rPr>
                <w:b/>
                <w:sz w:val="28"/>
                <w:szCs w:val="28"/>
              </w:rPr>
              <w:t>7</w:t>
            </w:r>
            <w:r w:rsidRPr="0068094B">
              <w:rPr>
                <w:b/>
                <w:sz w:val="28"/>
                <w:szCs w:val="28"/>
              </w:rPr>
              <w:t>/1</w:t>
            </w:r>
            <w:r w:rsidR="007D1A9D">
              <w:rPr>
                <w:b/>
                <w:sz w:val="28"/>
                <w:szCs w:val="28"/>
              </w:rPr>
              <w:t>8</w:t>
            </w:r>
            <w:r w:rsidRPr="0068094B">
              <w:rPr>
                <w:b/>
                <w:sz w:val="28"/>
                <w:szCs w:val="28"/>
              </w:rPr>
              <w:t xml:space="preserve"> TO 201</w:t>
            </w:r>
            <w:r w:rsidR="007D1A9D">
              <w:rPr>
                <w:b/>
                <w:sz w:val="28"/>
                <w:szCs w:val="28"/>
              </w:rPr>
              <w:t>8</w:t>
            </w:r>
            <w:r w:rsidRPr="0068094B">
              <w:rPr>
                <w:b/>
                <w:sz w:val="28"/>
                <w:szCs w:val="28"/>
              </w:rPr>
              <w:t>/1</w:t>
            </w:r>
            <w:r w:rsidR="007D1A9D">
              <w:rPr>
                <w:b/>
                <w:sz w:val="28"/>
                <w:szCs w:val="28"/>
              </w:rPr>
              <w:t>9</w:t>
            </w:r>
          </w:p>
        </w:tc>
        <w:tc>
          <w:tcPr>
            <w:tcW w:w="1701" w:type="dxa"/>
            <w:tcBorders>
              <w:top w:val="single" w:sz="4" w:space="0" w:color="auto"/>
              <w:left w:val="single" w:sz="4" w:space="0" w:color="auto"/>
              <w:bottom w:val="single" w:sz="4" w:space="0" w:color="auto"/>
              <w:right w:val="single" w:sz="4" w:space="0" w:color="auto"/>
            </w:tcBorders>
            <w:vAlign w:val="center"/>
          </w:tcPr>
          <w:p w14:paraId="3F50F5FB" w14:textId="005EC9E9" w:rsidR="002A7D10" w:rsidRPr="0068094B" w:rsidRDefault="009462B0" w:rsidP="009A329B">
            <w:pPr>
              <w:spacing w:after="0" w:line="240" w:lineRule="auto"/>
              <w:jc w:val="center"/>
              <w:rPr>
                <w:b/>
                <w:sz w:val="28"/>
                <w:szCs w:val="28"/>
              </w:rPr>
            </w:pPr>
            <w:r>
              <w:rPr>
                <w:b/>
                <w:sz w:val="28"/>
                <w:szCs w:val="28"/>
              </w:rPr>
              <w:t>-1.41</w:t>
            </w:r>
            <w:r w:rsidR="00E36DE8">
              <w:rPr>
                <w:b/>
                <w:sz w:val="28"/>
                <w:szCs w:val="28"/>
              </w:rPr>
              <w:t xml:space="preserve"> </w:t>
            </w:r>
            <w:r w:rsidR="00E36DE8" w:rsidRPr="00C14931">
              <w:rPr>
                <w:b/>
                <w:color w:val="FF0000"/>
                <w:sz w:val="28"/>
                <w:szCs w:val="28"/>
              </w:rPr>
              <w:sym w:font="Wingdings" w:char="F0EA"/>
            </w:r>
          </w:p>
        </w:tc>
        <w:tc>
          <w:tcPr>
            <w:tcW w:w="5812" w:type="dxa"/>
            <w:tcBorders>
              <w:top w:val="single" w:sz="4" w:space="0" w:color="auto"/>
              <w:left w:val="single" w:sz="4" w:space="0" w:color="auto"/>
              <w:bottom w:val="single" w:sz="4" w:space="0" w:color="auto"/>
              <w:right w:val="single" w:sz="4" w:space="0" w:color="auto"/>
            </w:tcBorders>
            <w:vAlign w:val="center"/>
          </w:tcPr>
          <w:p w14:paraId="1FF980DE" w14:textId="615F1B9C" w:rsidR="002A7D10" w:rsidRPr="00561760" w:rsidRDefault="002A7D10" w:rsidP="007D1A9D">
            <w:pPr>
              <w:spacing w:after="0" w:line="240" w:lineRule="auto"/>
              <w:jc w:val="center"/>
              <w:rPr>
                <w:sz w:val="28"/>
                <w:szCs w:val="28"/>
              </w:rPr>
            </w:pPr>
            <w:r>
              <w:rPr>
                <w:sz w:val="28"/>
                <w:szCs w:val="28"/>
              </w:rPr>
              <w:t>CHANGE 201</w:t>
            </w:r>
            <w:r w:rsidR="007D1A9D">
              <w:rPr>
                <w:sz w:val="28"/>
                <w:szCs w:val="28"/>
              </w:rPr>
              <w:t>7</w:t>
            </w:r>
            <w:r>
              <w:rPr>
                <w:sz w:val="28"/>
                <w:szCs w:val="28"/>
              </w:rPr>
              <w:t>/1</w:t>
            </w:r>
            <w:r w:rsidR="007D1A9D">
              <w:rPr>
                <w:sz w:val="28"/>
                <w:szCs w:val="28"/>
              </w:rPr>
              <w:t>8</w:t>
            </w:r>
            <w:r>
              <w:rPr>
                <w:sz w:val="28"/>
                <w:szCs w:val="28"/>
              </w:rPr>
              <w:t xml:space="preserve"> TO 201</w:t>
            </w:r>
            <w:r w:rsidR="007D1A9D">
              <w:rPr>
                <w:sz w:val="28"/>
                <w:szCs w:val="28"/>
              </w:rPr>
              <w:t>8</w:t>
            </w:r>
            <w:r>
              <w:rPr>
                <w:sz w:val="28"/>
                <w:szCs w:val="28"/>
              </w:rPr>
              <w:t>/1</w:t>
            </w:r>
            <w:r w:rsidR="007D1A9D">
              <w:rPr>
                <w:sz w:val="28"/>
                <w:szCs w:val="28"/>
              </w:rPr>
              <w:t>9</w:t>
            </w:r>
          </w:p>
        </w:tc>
        <w:tc>
          <w:tcPr>
            <w:tcW w:w="1989" w:type="dxa"/>
            <w:tcBorders>
              <w:top w:val="single" w:sz="4" w:space="0" w:color="auto"/>
              <w:left w:val="single" w:sz="4" w:space="0" w:color="auto"/>
              <w:bottom w:val="single" w:sz="4" w:space="0" w:color="auto"/>
              <w:right w:val="single" w:sz="4" w:space="0" w:color="auto"/>
            </w:tcBorders>
            <w:vAlign w:val="center"/>
          </w:tcPr>
          <w:p w14:paraId="41D18097" w14:textId="42BCAEC3" w:rsidR="002A7D10" w:rsidRPr="00E36DE8" w:rsidRDefault="00E36DE8" w:rsidP="009A329B">
            <w:pPr>
              <w:spacing w:after="0" w:line="240" w:lineRule="auto"/>
              <w:jc w:val="center"/>
              <w:rPr>
                <w:b/>
                <w:sz w:val="28"/>
                <w:szCs w:val="28"/>
              </w:rPr>
            </w:pPr>
            <w:r>
              <w:rPr>
                <w:sz w:val="28"/>
                <w:szCs w:val="28"/>
              </w:rPr>
              <w:t xml:space="preserve">1.32 </w:t>
            </w:r>
            <w:r w:rsidRPr="00EC5E64">
              <w:rPr>
                <w:b/>
                <w:color w:val="00B050"/>
                <w:sz w:val="28"/>
                <w:szCs w:val="28"/>
              </w:rPr>
              <w:sym w:font="Wingdings" w:char="F0E9"/>
            </w:r>
          </w:p>
        </w:tc>
      </w:tr>
      <w:tr w:rsidR="002A7D10" w14:paraId="07AA94D4" w14:textId="77777777" w:rsidTr="004B0D92">
        <w:trPr>
          <w:trHeight w:val="397"/>
          <w:jc w:val="center"/>
        </w:trPr>
        <w:tc>
          <w:tcPr>
            <w:tcW w:w="5807" w:type="dxa"/>
            <w:tcBorders>
              <w:top w:val="single" w:sz="4" w:space="0" w:color="auto"/>
              <w:left w:val="single" w:sz="4" w:space="0" w:color="auto"/>
              <w:bottom w:val="single" w:sz="4" w:space="0" w:color="auto"/>
              <w:right w:val="single" w:sz="4" w:space="0" w:color="auto"/>
            </w:tcBorders>
            <w:vAlign w:val="center"/>
          </w:tcPr>
          <w:p w14:paraId="15F03BA6" w14:textId="60736B61" w:rsidR="002A7D10" w:rsidRPr="0068094B" w:rsidRDefault="002A7D10" w:rsidP="007D1A9D">
            <w:pPr>
              <w:spacing w:after="0" w:line="240" w:lineRule="auto"/>
              <w:jc w:val="center"/>
              <w:rPr>
                <w:b/>
                <w:sz w:val="28"/>
                <w:szCs w:val="28"/>
              </w:rPr>
            </w:pPr>
            <w:r w:rsidRPr="0068094B">
              <w:rPr>
                <w:b/>
                <w:sz w:val="28"/>
                <w:szCs w:val="28"/>
              </w:rPr>
              <w:t>CHANGE BASE YEAR TO 201</w:t>
            </w:r>
            <w:r w:rsidR="007D1A9D">
              <w:rPr>
                <w:b/>
                <w:sz w:val="28"/>
                <w:szCs w:val="28"/>
              </w:rPr>
              <w:t>8</w:t>
            </w:r>
            <w:r w:rsidRPr="0068094B">
              <w:rPr>
                <w:b/>
                <w:sz w:val="28"/>
                <w:szCs w:val="28"/>
              </w:rPr>
              <w:t>/1</w:t>
            </w:r>
            <w:r w:rsidR="007D1A9D">
              <w:rPr>
                <w:b/>
                <w:sz w:val="28"/>
                <w:szCs w:val="28"/>
              </w:rPr>
              <w:t>9</w:t>
            </w:r>
          </w:p>
        </w:tc>
        <w:tc>
          <w:tcPr>
            <w:tcW w:w="1701" w:type="dxa"/>
            <w:tcBorders>
              <w:top w:val="single" w:sz="4" w:space="0" w:color="auto"/>
              <w:left w:val="single" w:sz="4" w:space="0" w:color="auto"/>
              <w:bottom w:val="single" w:sz="4" w:space="0" w:color="auto"/>
              <w:right w:val="single" w:sz="4" w:space="0" w:color="auto"/>
            </w:tcBorders>
            <w:vAlign w:val="center"/>
          </w:tcPr>
          <w:p w14:paraId="3C2CFB23" w14:textId="48FEA9CC" w:rsidR="002A7D10" w:rsidRPr="0068094B" w:rsidRDefault="009462B0" w:rsidP="009A329B">
            <w:pPr>
              <w:spacing w:after="0" w:line="240" w:lineRule="auto"/>
              <w:jc w:val="center"/>
              <w:rPr>
                <w:b/>
                <w:sz w:val="28"/>
                <w:szCs w:val="28"/>
              </w:rPr>
            </w:pPr>
            <w:r>
              <w:rPr>
                <w:b/>
                <w:sz w:val="28"/>
                <w:szCs w:val="28"/>
              </w:rPr>
              <w:t>-1.84</w:t>
            </w:r>
            <w:r w:rsidR="00E36DE8">
              <w:rPr>
                <w:b/>
                <w:sz w:val="28"/>
                <w:szCs w:val="28"/>
              </w:rPr>
              <w:t xml:space="preserve"> </w:t>
            </w:r>
            <w:r w:rsidR="00E36DE8" w:rsidRPr="00C14931">
              <w:rPr>
                <w:b/>
                <w:color w:val="FF0000"/>
                <w:sz w:val="28"/>
                <w:szCs w:val="28"/>
              </w:rPr>
              <w:sym w:font="Wingdings" w:char="F0EA"/>
            </w:r>
          </w:p>
        </w:tc>
        <w:tc>
          <w:tcPr>
            <w:tcW w:w="5812" w:type="dxa"/>
            <w:tcBorders>
              <w:top w:val="single" w:sz="4" w:space="0" w:color="auto"/>
              <w:left w:val="single" w:sz="4" w:space="0" w:color="auto"/>
              <w:bottom w:val="single" w:sz="4" w:space="0" w:color="auto"/>
              <w:right w:val="single" w:sz="4" w:space="0" w:color="auto"/>
            </w:tcBorders>
            <w:vAlign w:val="center"/>
          </w:tcPr>
          <w:p w14:paraId="24AB5185" w14:textId="18B31B92" w:rsidR="002A7D10" w:rsidRPr="00561760" w:rsidRDefault="002A7D10" w:rsidP="007D1A9D">
            <w:pPr>
              <w:spacing w:after="0" w:line="240" w:lineRule="auto"/>
              <w:jc w:val="center"/>
              <w:rPr>
                <w:sz w:val="28"/>
                <w:szCs w:val="28"/>
              </w:rPr>
            </w:pPr>
            <w:r>
              <w:rPr>
                <w:sz w:val="28"/>
                <w:szCs w:val="28"/>
              </w:rPr>
              <w:t>CHANGE BASE YEAR TO 201</w:t>
            </w:r>
            <w:r w:rsidR="007D1A9D">
              <w:rPr>
                <w:sz w:val="28"/>
                <w:szCs w:val="28"/>
              </w:rPr>
              <w:t>8</w:t>
            </w:r>
            <w:r>
              <w:rPr>
                <w:sz w:val="28"/>
                <w:szCs w:val="28"/>
              </w:rPr>
              <w:t>/1</w:t>
            </w:r>
            <w:r w:rsidR="007D1A9D">
              <w:rPr>
                <w:sz w:val="28"/>
                <w:szCs w:val="28"/>
              </w:rPr>
              <w:t>9</w:t>
            </w:r>
          </w:p>
        </w:tc>
        <w:tc>
          <w:tcPr>
            <w:tcW w:w="1989" w:type="dxa"/>
            <w:tcBorders>
              <w:top w:val="single" w:sz="4" w:space="0" w:color="auto"/>
              <w:left w:val="single" w:sz="4" w:space="0" w:color="auto"/>
              <w:bottom w:val="single" w:sz="4" w:space="0" w:color="auto"/>
              <w:right w:val="single" w:sz="4" w:space="0" w:color="auto"/>
            </w:tcBorders>
            <w:vAlign w:val="center"/>
          </w:tcPr>
          <w:p w14:paraId="5B63330E" w14:textId="3E91C784" w:rsidR="002A7D10" w:rsidRPr="00E36DE8" w:rsidRDefault="00E36DE8" w:rsidP="009A329B">
            <w:pPr>
              <w:spacing w:after="0" w:line="240" w:lineRule="auto"/>
              <w:jc w:val="center"/>
              <w:rPr>
                <w:b/>
                <w:sz w:val="28"/>
                <w:szCs w:val="28"/>
              </w:rPr>
            </w:pPr>
            <w:r>
              <w:rPr>
                <w:sz w:val="28"/>
                <w:szCs w:val="28"/>
              </w:rPr>
              <w:t xml:space="preserve">1.48 </w:t>
            </w:r>
            <w:r w:rsidRPr="00EC5E64">
              <w:rPr>
                <w:b/>
                <w:color w:val="00B050"/>
                <w:sz w:val="28"/>
                <w:szCs w:val="28"/>
              </w:rPr>
              <w:sym w:font="Wingdings" w:char="F0E9"/>
            </w:r>
          </w:p>
        </w:tc>
      </w:tr>
      <w:tr w:rsidR="002A7D10" w14:paraId="661E3E05" w14:textId="77777777" w:rsidTr="00B318EA">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vAlign w:val="center"/>
          </w:tcPr>
          <w:p w14:paraId="361C3C58" w14:textId="552390DD" w:rsidR="002A7D10" w:rsidRPr="0068094B" w:rsidRDefault="002A7D10" w:rsidP="007D1A9D">
            <w:pPr>
              <w:spacing w:after="0" w:line="240" w:lineRule="auto"/>
              <w:jc w:val="center"/>
              <w:rPr>
                <w:b/>
                <w:sz w:val="28"/>
                <w:szCs w:val="28"/>
              </w:rPr>
            </w:pPr>
            <w:r w:rsidRPr="0068094B">
              <w:rPr>
                <w:b/>
                <w:sz w:val="28"/>
                <w:szCs w:val="28"/>
              </w:rPr>
              <w:t>RANK POSITION:</w:t>
            </w:r>
            <w:r w:rsidR="00513443">
              <w:rPr>
                <w:b/>
                <w:sz w:val="28"/>
                <w:szCs w:val="28"/>
                <w:vertAlign w:val="superscript"/>
              </w:rPr>
              <w:t xml:space="preserve"> </w:t>
            </w:r>
            <w:r w:rsidR="00513443">
              <w:rPr>
                <w:b/>
                <w:sz w:val="28"/>
                <w:szCs w:val="28"/>
              </w:rPr>
              <w:t xml:space="preserve"> </w:t>
            </w:r>
            <w:r w:rsidR="009462B0">
              <w:rPr>
                <w:b/>
                <w:sz w:val="28"/>
                <w:szCs w:val="28"/>
              </w:rPr>
              <w:t>17</w:t>
            </w:r>
            <w:r w:rsidR="00513443">
              <w:rPr>
                <w:b/>
                <w:sz w:val="28"/>
                <w:szCs w:val="28"/>
              </w:rPr>
              <w:t xml:space="preserve">  </w:t>
            </w:r>
            <w:r w:rsidRPr="0068094B">
              <w:rPr>
                <w:b/>
                <w:sz w:val="28"/>
                <w:szCs w:val="28"/>
              </w:rPr>
              <w:t xml:space="preserve">RANK MOVEMENT: </w:t>
            </w:r>
            <w:r w:rsidR="009462B0">
              <w:rPr>
                <w:b/>
                <w:sz w:val="28"/>
                <w:szCs w:val="28"/>
              </w:rPr>
              <w:t>-6</w:t>
            </w:r>
            <w:r w:rsidR="00E36DE8">
              <w:rPr>
                <w:b/>
                <w:sz w:val="28"/>
                <w:szCs w:val="28"/>
              </w:rPr>
              <w:t xml:space="preserve"> </w:t>
            </w:r>
            <w:r w:rsidR="00E36DE8" w:rsidRPr="00C14931">
              <w:rPr>
                <w:b/>
                <w:color w:val="FF0000"/>
                <w:sz w:val="28"/>
                <w:szCs w:val="28"/>
              </w:rPr>
              <w:sym w:font="Wingdings" w:char="F0EA"/>
            </w:r>
          </w:p>
        </w:tc>
        <w:tc>
          <w:tcPr>
            <w:tcW w:w="780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7443BFB3" w14:textId="77777777" w:rsidR="002A7D10" w:rsidRPr="00561760" w:rsidRDefault="002A7D10" w:rsidP="009A329B">
            <w:pPr>
              <w:spacing w:after="0" w:line="240" w:lineRule="auto"/>
              <w:rPr>
                <w:sz w:val="28"/>
                <w:szCs w:val="28"/>
              </w:rPr>
            </w:pPr>
          </w:p>
        </w:tc>
      </w:tr>
      <w:tr w:rsidR="008E3A46" w14:paraId="2B0A61BC" w14:textId="77777777" w:rsidTr="00B318EA">
        <w:trPr>
          <w:trHeight w:val="397"/>
          <w:jc w:val="center"/>
        </w:trPr>
        <w:tc>
          <w:tcPr>
            <w:tcW w:w="7508"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313E39BB" w14:textId="3F845DBF" w:rsidR="008E3A46" w:rsidRPr="0068094B" w:rsidRDefault="004B0D92" w:rsidP="007D1A9D">
            <w:pPr>
              <w:spacing w:after="0" w:line="240" w:lineRule="auto"/>
              <w:jc w:val="center"/>
              <w:rPr>
                <w:b/>
                <w:sz w:val="28"/>
                <w:szCs w:val="28"/>
              </w:rPr>
            </w:pPr>
            <w:r>
              <w:rPr>
                <w:b/>
                <w:sz w:val="28"/>
                <w:szCs w:val="28"/>
              </w:rPr>
              <w:t>FAMILY GROUP RANKING 201</w:t>
            </w:r>
            <w:r w:rsidR="007D1A9D">
              <w:rPr>
                <w:b/>
                <w:sz w:val="28"/>
                <w:szCs w:val="28"/>
              </w:rPr>
              <w:t>8</w:t>
            </w:r>
            <w:r>
              <w:rPr>
                <w:b/>
                <w:sz w:val="28"/>
                <w:szCs w:val="28"/>
              </w:rPr>
              <w:t>/1</w:t>
            </w:r>
            <w:r w:rsidR="007D1A9D">
              <w:rPr>
                <w:b/>
                <w:sz w:val="28"/>
                <w:szCs w:val="28"/>
              </w:rPr>
              <w:t>9</w:t>
            </w:r>
          </w:p>
        </w:tc>
        <w:tc>
          <w:tcPr>
            <w:tcW w:w="7801" w:type="dxa"/>
            <w:gridSpan w:val="2"/>
            <w:tcBorders>
              <w:left w:val="single" w:sz="4" w:space="0" w:color="auto"/>
              <w:right w:val="single" w:sz="4" w:space="0" w:color="auto"/>
            </w:tcBorders>
            <w:shd w:val="clear" w:color="auto" w:fill="D9D9D9" w:themeFill="background1" w:themeFillShade="D9"/>
            <w:vAlign w:val="center"/>
          </w:tcPr>
          <w:p w14:paraId="3B3994B3" w14:textId="77777777" w:rsidR="008E3A46" w:rsidRPr="00561760" w:rsidRDefault="008E3A46" w:rsidP="009A329B">
            <w:pPr>
              <w:spacing w:after="0" w:line="240" w:lineRule="auto"/>
              <w:rPr>
                <w:sz w:val="28"/>
                <w:szCs w:val="28"/>
              </w:rPr>
            </w:pPr>
          </w:p>
        </w:tc>
      </w:tr>
      <w:tr w:rsidR="004B0D92" w14:paraId="2A5196FB" w14:textId="77777777" w:rsidTr="00B318EA">
        <w:trPr>
          <w:trHeight w:val="397"/>
          <w:jc w:val="center"/>
        </w:trPr>
        <w:tc>
          <w:tcPr>
            <w:tcW w:w="7508" w:type="dxa"/>
            <w:gridSpan w:val="2"/>
            <w:tcBorders>
              <w:left w:val="single" w:sz="4" w:space="0" w:color="auto"/>
              <w:bottom w:val="single" w:sz="4" w:space="0" w:color="auto"/>
              <w:right w:val="single" w:sz="4" w:space="0" w:color="auto"/>
            </w:tcBorders>
            <w:shd w:val="clear" w:color="auto" w:fill="D9E2F3" w:themeFill="accent5" w:themeFillTint="33"/>
            <w:vAlign w:val="center"/>
          </w:tcPr>
          <w:p w14:paraId="48542072" w14:textId="583840A4" w:rsidR="004B0D92" w:rsidRDefault="004B0D92" w:rsidP="007D1A9D">
            <w:pPr>
              <w:spacing w:after="0" w:line="240" w:lineRule="auto"/>
              <w:jc w:val="center"/>
              <w:rPr>
                <w:b/>
                <w:sz w:val="28"/>
                <w:szCs w:val="28"/>
              </w:rPr>
            </w:pPr>
            <w:r>
              <w:rPr>
                <w:b/>
                <w:sz w:val="28"/>
                <w:szCs w:val="28"/>
              </w:rPr>
              <w:t>RANK POSITION:</w:t>
            </w:r>
            <w:r w:rsidR="00FD1CF1">
              <w:rPr>
                <w:b/>
                <w:sz w:val="28"/>
                <w:szCs w:val="28"/>
              </w:rPr>
              <w:t xml:space="preserve">  </w:t>
            </w:r>
            <w:r w:rsidR="009462B0">
              <w:rPr>
                <w:b/>
                <w:sz w:val="28"/>
                <w:szCs w:val="28"/>
              </w:rPr>
              <w:t>8</w:t>
            </w:r>
            <w:r w:rsidR="00FD1CF1">
              <w:rPr>
                <w:b/>
                <w:sz w:val="28"/>
                <w:szCs w:val="28"/>
              </w:rPr>
              <w:t xml:space="preserve">  </w:t>
            </w:r>
            <w:r>
              <w:rPr>
                <w:b/>
                <w:sz w:val="28"/>
                <w:szCs w:val="28"/>
              </w:rPr>
              <w:t xml:space="preserve">RANK MOVEMENT: </w:t>
            </w:r>
            <w:r w:rsidR="009462B0">
              <w:rPr>
                <w:b/>
                <w:sz w:val="28"/>
                <w:szCs w:val="28"/>
              </w:rPr>
              <w:t>-3</w:t>
            </w:r>
            <w:r w:rsidR="00E36DE8">
              <w:rPr>
                <w:b/>
                <w:sz w:val="28"/>
                <w:szCs w:val="28"/>
              </w:rPr>
              <w:t xml:space="preserve"> </w:t>
            </w:r>
            <w:r w:rsidR="00E36DE8" w:rsidRPr="00C14931">
              <w:rPr>
                <w:b/>
                <w:color w:val="FF0000"/>
                <w:sz w:val="28"/>
                <w:szCs w:val="28"/>
              </w:rPr>
              <w:sym w:font="Wingdings" w:char="F0EA"/>
            </w:r>
          </w:p>
        </w:tc>
        <w:tc>
          <w:tcPr>
            <w:tcW w:w="7801"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5E6D8343" w14:textId="77777777" w:rsidR="004B0D92" w:rsidRPr="00561760" w:rsidRDefault="004B0D92" w:rsidP="009A329B">
            <w:pPr>
              <w:spacing w:after="0" w:line="240" w:lineRule="auto"/>
              <w:rPr>
                <w:sz w:val="28"/>
                <w:szCs w:val="28"/>
              </w:rPr>
            </w:pPr>
          </w:p>
        </w:tc>
      </w:tr>
      <w:tr w:rsidR="002A7D10" w14:paraId="1C0E1E84" w14:textId="77777777" w:rsidTr="009838CD">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1719D568" w14:textId="77777777" w:rsidR="004B0D92" w:rsidRPr="004B0D92" w:rsidRDefault="004B0D92" w:rsidP="009A329B">
            <w:pPr>
              <w:spacing w:after="0" w:line="240" w:lineRule="auto"/>
              <w:rPr>
                <w:sz w:val="6"/>
                <w:szCs w:val="6"/>
              </w:rPr>
            </w:pPr>
          </w:p>
          <w:p w14:paraId="551CAF6D" w14:textId="77777777" w:rsidR="002A7D10" w:rsidRDefault="002A7D10" w:rsidP="000F4CDF">
            <w:pPr>
              <w:spacing w:after="120" w:line="240" w:lineRule="auto"/>
              <w:rPr>
                <w:b/>
                <w:sz w:val="28"/>
                <w:szCs w:val="28"/>
              </w:rPr>
            </w:pPr>
            <w:r w:rsidRPr="00746CCC">
              <w:rPr>
                <w:b/>
                <w:sz w:val="28"/>
                <w:szCs w:val="28"/>
              </w:rPr>
              <w:t>TELLING OUR STORY:</w:t>
            </w:r>
          </w:p>
          <w:p w14:paraId="5DCFEF8D" w14:textId="3E93E226" w:rsidR="002879AE" w:rsidRPr="001453C3" w:rsidRDefault="002879AE" w:rsidP="000F4CDF">
            <w:pPr>
              <w:spacing w:after="120" w:line="240" w:lineRule="auto"/>
              <w:rPr>
                <w:rFonts w:cstheme="minorHAnsi"/>
                <w:sz w:val="24"/>
                <w:szCs w:val="24"/>
              </w:rPr>
            </w:pPr>
            <w:r w:rsidRPr="001453C3">
              <w:rPr>
                <w:rFonts w:cstheme="minorHAnsi"/>
                <w:sz w:val="24"/>
                <w:szCs w:val="24"/>
              </w:rPr>
              <w:t xml:space="preserve">There are 9 years of data for this indicator. This is the first year in which percentage spend in Argyll and Bute has been below the Scottish average. </w:t>
            </w:r>
            <w:r w:rsidR="00975BF1" w:rsidRPr="001453C3">
              <w:rPr>
                <w:rFonts w:cstheme="minorHAnsi"/>
                <w:sz w:val="24"/>
                <w:szCs w:val="24"/>
              </w:rPr>
              <w:t>Across these 9 years, t</w:t>
            </w:r>
            <w:r w:rsidRPr="001453C3">
              <w:rPr>
                <w:rFonts w:cstheme="minorHAnsi"/>
                <w:sz w:val="24"/>
                <w:szCs w:val="24"/>
              </w:rPr>
              <w:t>he 2018/19 figure is the lowest percentage spe</w:t>
            </w:r>
            <w:r w:rsidR="00975BF1" w:rsidRPr="001453C3">
              <w:rPr>
                <w:rFonts w:cstheme="minorHAnsi"/>
                <w:sz w:val="24"/>
                <w:szCs w:val="24"/>
              </w:rPr>
              <w:t>nd recorded for Argyll and Bute.</w:t>
            </w:r>
          </w:p>
          <w:p w14:paraId="1EF362B2" w14:textId="33B5FDE0" w:rsidR="00975BF1" w:rsidRPr="001453C3" w:rsidRDefault="00975BF1" w:rsidP="000F4CDF">
            <w:pPr>
              <w:spacing w:after="120" w:line="240" w:lineRule="auto"/>
              <w:rPr>
                <w:rFonts w:cstheme="minorHAnsi"/>
                <w:sz w:val="24"/>
                <w:szCs w:val="24"/>
              </w:rPr>
            </w:pPr>
            <w:r w:rsidRPr="001453C3">
              <w:rPr>
                <w:rFonts w:cstheme="minorHAnsi"/>
                <w:sz w:val="24"/>
                <w:szCs w:val="24"/>
              </w:rPr>
              <w:t>Last year's report highlighted the impact of capital projects on this indicator; results for each year are influenced by the type of spend and whether there are local suppliers who have the required capabilities to deliver projects. The report also suggested that performance in 2018/19 would be similar to the previous year as only two of our top 10 suppliers in 2018/19 to date at time of writing werr local, and performance was being influenced by a number of large projects using specialist, out-of-area contractors.</w:t>
            </w:r>
          </w:p>
          <w:p w14:paraId="7ED71358" w14:textId="2B4F427A" w:rsidR="0008221F" w:rsidRPr="005543B2" w:rsidRDefault="00B9229D" w:rsidP="000F4CDF">
            <w:pPr>
              <w:spacing w:after="120" w:line="240" w:lineRule="auto"/>
              <w:rPr>
                <w:rFonts w:ascii="Arial" w:hAnsi="Arial" w:cs="Arial"/>
                <w:szCs w:val="24"/>
              </w:rPr>
            </w:pPr>
            <w:r w:rsidRPr="00005D0F">
              <w:rPr>
                <w:rFonts w:ascii="Arial" w:hAnsi="Arial" w:cs="Arial"/>
                <w:szCs w:val="24"/>
              </w:rPr>
              <w:t xml:space="preserve"> </w:t>
            </w:r>
          </w:p>
        </w:tc>
      </w:tr>
      <w:tr w:rsidR="002A7D10" w14:paraId="591A2CF0" w14:textId="77777777" w:rsidTr="009838CD">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64B5780E" w14:textId="77777777" w:rsidR="004B0D92" w:rsidRPr="004B0D92" w:rsidRDefault="004B0D92" w:rsidP="009A329B">
            <w:pPr>
              <w:spacing w:after="0" w:line="240" w:lineRule="auto"/>
              <w:rPr>
                <w:sz w:val="6"/>
                <w:szCs w:val="6"/>
              </w:rPr>
            </w:pPr>
          </w:p>
          <w:p w14:paraId="20CBA394" w14:textId="77777777" w:rsidR="00817D09" w:rsidRDefault="00232953" w:rsidP="009A329B">
            <w:pPr>
              <w:spacing w:after="0" w:line="240" w:lineRule="auto"/>
              <w:rPr>
                <w:b/>
                <w:sz w:val="28"/>
                <w:szCs w:val="28"/>
              </w:rPr>
            </w:pPr>
            <w:r>
              <w:rPr>
                <w:b/>
                <w:sz w:val="28"/>
                <w:szCs w:val="28"/>
              </w:rPr>
              <w:t>LOOKING FORWARD - EXPECTED IMPACT ON INDICATOR</w:t>
            </w:r>
            <w:r w:rsidR="002A7D10" w:rsidRPr="00441B4F">
              <w:rPr>
                <w:b/>
                <w:sz w:val="28"/>
                <w:szCs w:val="28"/>
              </w:rPr>
              <w:t>:</w:t>
            </w:r>
          </w:p>
          <w:p w14:paraId="0F2FAFD7" w14:textId="77777777" w:rsidR="004B0D92" w:rsidRPr="00304D5D" w:rsidRDefault="004B0D92" w:rsidP="007D1A9D">
            <w:pPr>
              <w:spacing w:after="0" w:line="240" w:lineRule="auto"/>
              <w:rPr>
                <w:rFonts w:cstheme="minorHAnsi"/>
                <w:szCs w:val="28"/>
              </w:rPr>
            </w:pPr>
          </w:p>
          <w:p w14:paraId="5B86AFFC" w14:textId="34F7C70B" w:rsidR="00304D5D" w:rsidRPr="005543B2" w:rsidRDefault="00304D5D" w:rsidP="007D1A9D">
            <w:pPr>
              <w:spacing w:after="0" w:line="240" w:lineRule="auto"/>
              <w:rPr>
                <w:rFonts w:ascii="Arial" w:hAnsi="Arial" w:cs="Arial"/>
                <w:b/>
                <w:szCs w:val="28"/>
              </w:rPr>
            </w:pPr>
            <w:r w:rsidRPr="00304D5D">
              <w:rPr>
                <w:rFonts w:cstheme="minorHAnsi"/>
                <w:szCs w:val="28"/>
              </w:rPr>
              <w:t>No</w:t>
            </w:r>
            <w:r w:rsidR="00D87354">
              <w:rPr>
                <w:rFonts w:cstheme="minorHAnsi"/>
                <w:szCs w:val="28"/>
              </w:rPr>
              <w:t xml:space="preserve"> further</w:t>
            </w:r>
            <w:r w:rsidRPr="00304D5D">
              <w:rPr>
                <w:rFonts w:cstheme="minorHAnsi"/>
                <w:szCs w:val="28"/>
              </w:rPr>
              <w:t xml:space="preserve"> comment</w:t>
            </w:r>
            <w:r>
              <w:rPr>
                <w:rFonts w:ascii="Arial" w:hAnsi="Arial" w:cs="Arial"/>
                <w:b/>
                <w:szCs w:val="28"/>
              </w:rPr>
              <w:t>.</w:t>
            </w:r>
          </w:p>
        </w:tc>
      </w:tr>
    </w:tbl>
    <w:p w14:paraId="4BAAD365" w14:textId="77777777" w:rsidR="007D1A9D" w:rsidRDefault="007D1A9D">
      <w:r>
        <w:br w:type="page"/>
      </w:r>
    </w:p>
    <w:p w14:paraId="4393FE23" w14:textId="77777777" w:rsidR="00473295" w:rsidRDefault="00473295" w:rsidP="00473295">
      <w:pPr>
        <w:spacing w:after="0" w:line="240" w:lineRule="auto"/>
        <w:rPr>
          <w:b/>
          <w:sz w:val="28"/>
          <w:szCs w:val="28"/>
        </w:rPr>
      </w:pPr>
    </w:p>
    <w:tbl>
      <w:tblPr>
        <w:tblStyle w:val="TableGrid5"/>
        <w:tblW w:w="15309" w:type="dxa"/>
        <w:jc w:val="center"/>
        <w:tblLook w:val="04A0" w:firstRow="1" w:lastRow="0" w:firstColumn="1" w:lastColumn="0" w:noHBand="0" w:noVBand="1"/>
      </w:tblPr>
      <w:tblGrid>
        <w:gridCol w:w="5949"/>
        <w:gridCol w:w="1559"/>
        <w:gridCol w:w="6095"/>
        <w:gridCol w:w="1706"/>
      </w:tblGrid>
      <w:tr w:rsidR="00473295" w:rsidRPr="005D65E6" w14:paraId="72ACEE63" w14:textId="77777777" w:rsidTr="008A1C74">
        <w:trPr>
          <w:trHeight w:val="794"/>
          <w:jc w:val="center"/>
        </w:trPr>
        <w:tc>
          <w:tcPr>
            <w:tcW w:w="15309" w:type="dxa"/>
            <w:gridSpan w:val="4"/>
            <w:vAlign w:val="center"/>
          </w:tcPr>
          <w:p w14:paraId="1F8955CA" w14:textId="41433C5B" w:rsidR="00473295" w:rsidRPr="005D65E6" w:rsidRDefault="00473295" w:rsidP="00473295">
            <w:pPr>
              <w:rPr>
                <w:b/>
                <w:sz w:val="32"/>
              </w:rPr>
            </w:pPr>
            <w:r w:rsidRPr="005D65E6">
              <w:rPr>
                <w:b/>
                <w:sz w:val="32"/>
              </w:rPr>
              <w:t xml:space="preserve">SERVICE: </w:t>
            </w:r>
            <w:r>
              <w:rPr>
                <w:b/>
                <w:sz w:val="32"/>
              </w:rPr>
              <w:t>COMMERCIAL</w:t>
            </w:r>
            <w:r w:rsidRPr="005D65E6">
              <w:rPr>
                <w:b/>
                <w:sz w:val="32"/>
              </w:rPr>
              <w:t xml:space="preserve"> SERVICES</w:t>
            </w:r>
          </w:p>
        </w:tc>
      </w:tr>
      <w:tr w:rsidR="00473295" w:rsidRPr="005B1C4B" w14:paraId="5AE45CA6" w14:textId="77777777" w:rsidTr="008A1C74">
        <w:trPr>
          <w:trHeight w:val="567"/>
          <w:jc w:val="center"/>
        </w:trPr>
        <w:tc>
          <w:tcPr>
            <w:tcW w:w="15309" w:type="dxa"/>
            <w:gridSpan w:val="4"/>
            <w:vAlign w:val="center"/>
          </w:tcPr>
          <w:p w14:paraId="6F423B28" w14:textId="77777777" w:rsidR="00473295" w:rsidRPr="005B1C4B" w:rsidRDefault="00473295" w:rsidP="008A1C74">
            <w:pPr>
              <w:pStyle w:val="Heading1"/>
              <w:spacing w:before="0"/>
              <w:outlineLvl w:val="0"/>
              <w:rPr>
                <w:b/>
                <w:color w:val="auto"/>
              </w:rPr>
            </w:pPr>
            <w:bookmarkStart w:id="22" w:name="_Toc56757700"/>
            <w:r w:rsidRPr="005B1C4B">
              <w:rPr>
                <w:b/>
                <w:color w:val="auto"/>
              </w:rPr>
              <w:t>INDICATOR REF: CORP ASSET1 - Percentage of operational buildings that are suitable for their current use</w:t>
            </w:r>
            <w:bookmarkEnd w:id="22"/>
            <w:r w:rsidRPr="005B1C4B">
              <w:rPr>
                <w:b/>
                <w:color w:val="auto"/>
              </w:rPr>
              <w:tab/>
            </w:r>
          </w:p>
        </w:tc>
      </w:tr>
      <w:tr w:rsidR="00473295" w:rsidRPr="00004082" w14:paraId="2CC31249" w14:textId="77777777" w:rsidTr="008A1C74">
        <w:trPr>
          <w:trHeight w:val="454"/>
          <w:jc w:val="center"/>
        </w:trPr>
        <w:tc>
          <w:tcPr>
            <w:tcW w:w="15309" w:type="dxa"/>
            <w:gridSpan w:val="4"/>
            <w:vAlign w:val="center"/>
          </w:tcPr>
          <w:p w14:paraId="05C33489" w14:textId="7DEFEA11" w:rsidR="00473295" w:rsidRPr="00982378" w:rsidRDefault="00473295" w:rsidP="008A1C74">
            <w:pPr>
              <w:jc w:val="center"/>
              <w:rPr>
                <w:b/>
                <w:color w:val="0070C0"/>
                <w:sz w:val="28"/>
                <w:szCs w:val="28"/>
              </w:rPr>
            </w:pPr>
            <w:r w:rsidRPr="00C577BD">
              <w:rPr>
                <w:b/>
                <w:color w:val="0070C0"/>
                <w:sz w:val="28"/>
                <w:szCs w:val="28"/>
              </w:rPr>
              <w:t>Performance Range:</w:t>
            </w:r>
            <w:r w:rsidRPr="004C7782">
              <w:rPr>
                <w:b/>
                <w:color w:val="0070C0"/>
                <w:sz w:val="28"/>
                <w:szCs w:val="28"/>
              </w:rPr>
              <w:t xml:space="preserve"> </w:t>
            </w:r>
            <w:r w:rsidR="009462B0">
              <w:rPr>
                <w:b/>
                <w:color w:val="0070C0"/>
                <w:sz w:val="28"/>
                <w:szCs w:val="28"/>
              </w:rPr>
              <w:t>66.29</w:t>
            </w:r>
            <w:r>
              <w:rPr>
                <w:b/>
                <w:color w:val="0070C0"/>
                <w:sz w:val="28"/>
                <w:szCs w:val="28"/>
              </w:rPr>
              <w:t xml:space="preserve">% to </w:t>
            </w:r>
            <w:r w:rsidR="009462B0">
              <w:rPr>
                <w:b/>
                <w:color w:val="0070C0"/>
                <w:sz w:val="28"/>
                <w:szCs w:val="28"/>
              </w:rPr>
              <w:t>98.22</w:t>
            </w:r>
            <w:r>
              <w:rPr>
                <w:b/>
                <w:color w:val="0070C0"/>
                <w:sz w:val="28"/>
                <w:szCs w:val="28"/>
              </w:rPr>
              <w:t xml:space="preserve">%  </w:t>
            </w:r>
            <w:r w:rsidRPr="005E2139">
              <w:rPr>
                <w:b/>
                <w:color w:val="0070C0"/>
                <w:sz w:val="28"/>
                <w:szCs w:val="28"/>
              </w:rPr>
              <w:t>(Highest is best)</w:t>
            </w:r>
          </w:p>
        </w:tc>
      </w:tr>
      <w:tr w:rsidR="00473295" w:rsidRPr="00004082" w14:paraId="20C0DCC1" w14:textId="77777777" w:rsidTr="008A1C74">
        <w:trPr>
          <w:trHeight w:val="397"/>
          <w:jc w:val="center"/>
        </w:trPr>
        <w:tc>
          <w:tcPr>
            <w:tcW w:w="7508" w:type="dxa"/>
            <w:gridSpan w:val="2"/>
            <w:shd w:val="clear" w:color="auto" w:fill="D9E2F3" w:themeFill="accent5" w:themeFillTint="33"/>
            <w:vAlign w:val="center"/>
          </w:tcPr>
          <w:p w14:paraId="52A13BEE" w14:textId="77777777" w:rsidR="00473295" w:rsidRPr="00004082" w:rsidRDefault="00473295" w:rsidP="008A1C74">
            <w:pPr>
              <w:jc w:val="center"/>
              <w:rPr>
                <w:b/>
                <w:sz w:val="28"/>
                <w:szCs w:val="28"/>
              </w:rPr>
            </w:pPr>
            <w:r w:rsidRPr="00004082">
              <w:rPr>
                <w:b/>
                <w:sz w:val="28"/>
                <w:szCs w:val="28"/>
              </w:rPr>
              <w:t>ARGYLL AND BUTE</w:t>
            </w:r>
          </w:p>
        </w:tc>
        <w:tc>
          <w:tcPr>
            <w:tcW w:w="7801" w:type="dxa"/>
            <w:gridSpan w:val="2"/>
            <w:shd w:val="clear" w:color="auto" w:fill="D9E2F3" w:themeFill="accent5" w:themeFillTint="33"/>
            <w:vAlign w:val="center"/>
          </w:tcPr>
          <w:p w14:paraId="0E850942" w14:textId="77777777" w:rsidR="00473295" w:rsidRPr="00004082" w:rsidRDefault="00473295" w:rsidP="008A1C74">
            <w:pPr>
              <w:jc w:val="center"/>
              <w:rPr>
                <w:b/>
                <w:sz w:val="28"/>
                <w:szCs w:val="28"/>
              </w:rPr>
            </w:pPr>
            <w:r w:rsidRPr="00004082">
              <w:rPr>
                <w:b/>
                <w:sz w:val="28"/>
                <w:szCs w:val="28"/>
              </w:rPr>
              <w:t>SCOTLAND</w:t>
            </w:r>
          </w:p>
        </w:tc>
      </w:tr>
      <w:tr w:rsidR="00473295" w:rsidRPr="00004082" w14:paraId="56F96AAD" w14:textId="77777777" w:rsidTr="008A1C74">
        <w:trPr>
          <w:trHeight w:val="397"/>
          <w:jc w:val="center"/>
        </w:trPr>
        <w:tc>
          <w:tcPr>
            <w:tcW w:w="7508" w:type="dxa"/>
            <w:gridSpan w:val="2"/>
            <w:vAlign w:val="center"/>
          </w:tcPr>
          <w:p w14:paraId="21E19F4C" w14:textId="77F39844" w:rsidR="00473295" w:rsidRPr="00721B18" w:rsidRDefault="009462B0" w:rsidP="008A1C74">
            <w:pPr>
              <w:jc w:val="center"/>
              <w:rPr>
                <w:b/>
                <w:sz w:val="28"/>
                <w:szCs w:val="28"/>
              </w:rPr>
            </w:pPr>
            <w:r>
              <w:rPr>
                <w:b/>
                <w:sz w:val="28"/>
                <w:szCs w:val="28"/>
              </w:rPr>
              <w:t>75.06</w:t>
            </w:r>
            <w:r w:rsidR="00473295">
              <w:rPr>
                <w:b/>
                <w:sz w:val="28"/>
                <w:szCs w:val="28"/>
              </w:rPr>
              <w:t>%</w:t>
            </w:r>
          </w:p>
        </w:tc>
        <w:tc>
          <w:tcPr>
            <w:tcW w:w="7801" w:type="dxa"/>
            <w:gridSpan w:val="2"/>
            <w:vAlign w:val="center"/>
          </w:tcPr>
          <w:p w14:paraId="67A8EF83" w14:textId="0BFBA81B" w:rsidR="00473295" w:rsidRPr="00004082" w:rsidRDefault="009462B0" w:rsidP="008A1C74">
            <w:pPr>
              <w:jc w:val="center"/>
              <w:rPr>
                <w:b/>
                <w:sz w:val="28"/>
                <w:szCs w:val="28"/>
              </w:rPr>
            </w:pPr>
            <w:r>
              <w:rPr>
                <w:b/>
                <w:sz w:val="28"/>
                <w:szCs w:val="28"/>
              </w:rPr>
              <w:t>82.14</w:t>
            </w:r>
            <w:r w:rsidR="00473295">
              <w:rPr>
                <w:b/>
                <w:sz w:val="28"/>
                <w:szCs w:val="28"/>
              </w:rPr>
              <w:t>%</w:t>
            </w:r>
          </w:p>
        </w:tc>
      </w:tr>
      <w:tr w:rsidR="00473295" w:rsidRPr="00004082" w14:paraId="531EE091" w14:textId="77777777" w:rsidTr="008A1C74">
        <w:trPr>
          <w:trHeight w:val="397"/>
          <w:jc w:val="center"/>
        </w:trPr>
        <w:tc>
          <w:tcPr>
            <w:tcW w:w="5949" w:type="dxa"/>
            <w:vAlign w:val="center"/>
          </w:tcPr>
          <w:p w14:paraId="397E52E1" w14:textId="77777777" w:rsidR="00473295" w:rsidRPr="00721B18" w:rsidRDefault="00473295" w:rsidP="008A1C74">
            <w:pPr>
              <w:jc w:val="center"/>
              <w:rPr>
                <w:b/>
                <w:sz w:val="28"/>
                <w:szCs w:val="28"/>
              </w:rPr>
            </w:pPr>
            <w:r w:rsidRPr="00721B18">
              <w:rPr>
                <w:b/>
                <w:sz w:val="28"/>
                <w:szCs w:val="28"/>
              </w:rPr>
              <w:t>CHANGE 201</w:t>
            </w:r>
            <w:r>
              <w:rPr>
                <w:b/>
                <w:sz w:val="28"/>
                <w:szCs w:val="28"/>
              </w:rPr>
              <w:t>7</w:t>
            </w:r>
            <w:r w:rsidRPr="00721B18">
              <w:rPr>
                <w:b/>
                <w:sz w:val="28"/>
                <w:szCs w:val="28"/>
              </w:rPr>
              <w:t>/1</w:t>
            </w:r>
            <w:r>
              <w:rPr>
                <w:b/>
                <w:sz w:val="28"/>
                <w:szCs w:val="28"/>
              </w:rPr>
              <w:t>8</w:t>
            </w:r>
            <w:r w:rsidRPr="00721B18">
              <w:rPr>
                <w:b/>
                <w:sz w:val="28"/>
                <w:szCs w:val="28"/>
              </w:rPr>
              <w:t xml:space="preserve"> TO </w:t>
            </w:r>
            <w:r>
              <w:rPr>
                <w:b/>
                <w:sz w:val="28"/>
                <w:szCs w:val="28"/>
              </w:rPr>
              <w:t>2018/19</w:t>
            </w:r>
          </w:p>
        </w:tc>
        <w:tc>
          <w:tcPr>
            <w:tcW w:w="1559" w:type="dxa"/>
            <w:vAlign w:val="center"/>
          </w:tcPr>
          <w:p w14:paraId="3E3E4805" w14:textId="3E0F454B" w:rsidR="00473295" w:rsidRPr="00721B18" w:rsidRDefault="009462B0" w:rsidP="008A1C74">
            <w:pPr>
              <w:jc w:val="center"/>
              <w:rPr>
                <w:b/>
                <w:sz w:val="28"/>
                <w:szCs w:val="28"/>
              </w:rPr>
            </w:pPr>
            <w:r>
              <w:rPr>
                <w:b/>
                <w:sz w:val="28"/>
                <w:szCs w:val="28"/>
              </w:rPr>
              <w:t>1.32</w:t>
            </w:r>
            <w:r w:rsidR="00E36DE8">
              <w:rPr>
                <w:b/>
                <w:sz w:val="28"/>
                <w:szCs w:val="28"/>
              </w:rPr>
              <w:t xml:space="preserve"> </w:t>
            </w:r>
            <w:r w:rsidR="00E36DE8" w:rsidRPr="00EC5E64">
              <w:rPr>
                <w:b/>
                <w:color w:val="00B050"/>
                <w:sz w:val="28"/>
                <w:szCs w:val="28"/>
              </w:rPr>
              <w:sym w:font="Wingdings" w:char="F0E9"/>
            </w:r>
          </w:p>
        </w:tc>
        <w:tc>
          <w:tcPr>
            <w:tcW w:w="6095" w:type="dxa"/>
            <w:vAlign w:val="center"/>
          </w:tcPr>
          <w:p w14:paraId="765DD030" w14:textId="77777777" w:rsidR="00473295" w:rsidRDefault="00473295" w:rsidP="008A1C74">
            <w:pPr>
              <w:jc w:val="center"/>
              <w:rPr>
                <w:b/>
                <w:sz w:val="28"/>
                <w:szCs w:val="28"/>
              </w:rPr>
            </w:pPr>
            <w:r>
              <w:rPr>
                <w:sz w:val="28"/>
                <w:szCs w:val="28"/>
              </w:rPr>
              <w:t>CHANGE 2017/18 TO 2018/19</w:t>
            </w:r>
          </w:p>
        </w:tc>
        <w:tc>
          <w:tcPr>
            <w:tcW w:w="1706" w:type="dxa"/>
            <w:vAlign w:val="center"/>
          </w:tcPr>
          <w:p w14:paraId="0808C29E" w14:textId="7E45E6E6" w:rsidR="00473295" w:rsidRPr="00E36DE8" w:rsidRDefault="00E36DE8" w:rsidP="008A1C74">
            <w:pPr>
              <w:jc w:val="center"/>
              <w:rPr>
                <w:b/>
                <w:sz w:val="28"/>
                <w:szCs w:val="28"/>
              </w:rPr>
            </w:pPr>
            <w:r>
              <w:rPr>
                <w:sz w:val="28"/>
                <w:szCs w:val="28"/>
              </w:rPr>
              <w:t xml:space="preserve">1.34 </w:t>
            </w:r>
            <w:r w:rsidRPr="00EC5E64">
              <w:rPr>
                <w:b/>
                <w:color w:val="00B050"/>
                <w:sz w:val="28"/>
                <w:szCs w:val="28"/>
              </w:rPr>
              <w:sym w:font="Wingdings" w:char="F0E9"/>
            </w:r>
          </w:p>
        </w:tc>
      </w:tr>
      <w:tr w:rsidR="00473295" w:rsidRPr="00004082" w14:paraId="1C44F359" w14:textId="77777777" w:rsidTr="008A1C74">
        <w:trPr>
          <w:trHeight w:val="397"/>
          <w:jc w:val="center"/>
        </w:trPr>
        <w:tc>
          <w:tcPr>
            <w:tcW w:w="5949" w:type="dxa"/>
            <w:vAlign w:val="center"/>
          </w:tcPr>
          <w:p w14:paraId="629A0B37" w14:textId="77777777" w:rsidR="00473295" w:rsidRPr="00721B18" w:rsidRDefault="00473295" w:rsidP="008A1C74">
            <w:pPr>
              <w:jc w:val="center"/>
              <w:rPr>
                <w:b/>
                <w:sz w:val="28"/>
                <w:szCs w:val="28"/>
              </w:rPr>
            </w:pPr>
            <w:r w:rsidRPr="001B7E1E">
              <w:rPr>
                <w:b/>
                <w:sz w:val="28"/>
                <w:szCs w:val="28"/>
              </w:rPr>
              <w:t xml:space="preserve">CHANGE </w:t>
            </w:r>
            <w:r w:rsidRPr="00B40BD7">
              <w:rPr>
                <w:b/>
                <w:sz w:val="28"/>
                <w:szCs w:val="28"/>
              </w:rPr>
              <w:t xml:space="preserve">BASE YEAR </w:t>
            </w:r>
            <w:r w:rsidRPr="001B7E1E">
              <w:rPr>
                <w:b/>
                <w:sz w:val="28"/>
                <w:szCs w:val="28"/>
              </w:rPr>
              <w:t>TO 201</w:t>
            </w:r>
            <w:r>
              <w:rPr>
                <w:b/>
                <w:sz w:val="28"/>
                <w:szCs w:val="28"/>
              </w:rPr>
              <w:t>8</w:t>
            </w:r>
            <w:r w:rsidRPr="001B7E1E">
              <w:rPr>
                <w:b/>
                <w:sz w:val="28"/>
                <w:szCs w:val="28"/>
              </w:rPr>
              <w:t>/1</w:t>
            </w:r>
            <w:r>
              <w:rPr>
                <w:b/>
                <w:sz w:val="28"/>
                <w:szCs w:val="28"/>
              </w:rPr>
              <w:t>9</w:t>
            </w:r>
          </w:p>
        </w:tc>
        <w:tc>
          <w:tcPr>
            <w:tcW w:w="1559" w:type="dxa"/>
            <w:vAlign w:val="center"/>
          </w:tcPr>
          <w:p w14:paraId="4AAD3670" w14:textId="5E718FDD" w:rsidR="00473295" w:rsidRPr="00721B18" w:rsidRDefault="009462B0" w:rsidP="008A1C74">
            <w:pPr>
              <w:jc w:val="center"/>
              <w:rPr>
                <w:b/>
                <w:sz w:val="28"/>
                <w:szCs w:val="28"/>
              </w:rPr>
            </w:pPr>
            <w:r>
              <w:rPr>
                <w:b/>
                <w:sz w:val="28"/>
                <w:szCs w:val="28"/>
              </w:rPr>
              <w:t>10.17</w:t>
            </w:r>
            <w:r w:rsidR="00E36DE8">
              <w:rPr>
                <w:b/>
                <w:sz w:val="28"/>
                <w:szCs w:val="28"/>
              </w:rPr>
              <w:t xml:space="preserve"> </w:t>
            </w:r>
            <w:r w:rsidR="00E36DE8" w:rsidRPr="00EC5E64">
              <w:rPr>
                <w:b/>
                <w:color w:val="00B050"/>
                <w:sz w:val="28"/>
                <w:szCs w:val="28"/>
              </w:rPr>
              <w:sym w:font="Wingdings" w:char="F0E9"/>
            </w:r>
          </w:p>
        </w:tc>
        <w:tc>
          <w:tcPr>
            <w:tcW w:w="6095" w:type="dxa"/>
            <w:tcBorders>
              <w:bottom w:val="single" w:sz="4" w:space="0" w:color="auto"/>
            </w:tcBorders>
            <w:vAlign w:val="center"/>
          </w:tcPr>
          <w:p w14:paraId="720E5162" w14:textId="77777777" w:rsidR="00473295" w:rsidRDefault="00473295" w:rsidP="008A1C74">
            <w:pPr>
              <w:jc w:val="center"/>
              <w:rPr>
                <w:sz w:val="28"/>
                <w:szCs w:val="28"/>
              </w:rPr>
            </w:pPr>
            <w:r w:rsidRPr="001B7E1E">
              <w:rPr>
                <w:sz w:val="28"/>
                <w:szCs w:val="28"/>
              </w:rPr>
              <w:t xml:space="preserve">CHANGE </w:t>
            </w:r>
            <w:r w:rsidRPr="00903E39">
              <w:rPr>
                <w:sz w:val="28"/>
                <w:szCs w:val="28"/>
              </w:rPr>
              <w:t xml:space="preserve">BASE YEAR </w:t>
            </w:r>
            <w:r w:rsidRPr="001B7E1E">
              <w:rPr>
                <w:sz w:val="28"/>
                <w:szCs w:val="28"/>
              </w:rPr>
              <w:t>TO 201</w:t>
            </w:r>
            <w:r>
              <w:rPr>
                <w:sz w:val="28"/>
                <w:szCs w:val="28"/>
              </w:rPr>
              <w:t>8</w:t>
            </w:r>
            <w:r w:rsidRPr="001B7E1E">
              <w:rPr>
                <w:sz w:val="28"/>
                <w:szCs w:val="28"/>
              </w:rPr>
              <w:t>/1</w:t>
            </w:r>
            <w:r>
              <w:rPr>
                <w:sz w:val="28"/>
                <w:szCs w:val="28"/>
              </w:rPr>
              <w:t>9</w:t>
            </w:r>
          </w:p>
        </w:tc>
        <w:tc>
          <w:tcPr>
            <w:tcW w:w="1706" w:type="dxa"/>
            <w:tcBorders>
              <w:bottom w:val="single" w:sz="4" w:space="0" w:color="auto"/>
            </w:tcBorders>
            <w:vAlign w:val="center"/>
          </w:tcPr>
          <w:p w14:paraId="2A550F9E" w14:textId="7E08C882" w:rsidR="00473295" w:rsidRPr="00E36DE8" w:rsidRDefault="00E36DE8" w:rsidP="008A1C74">
            <w:pPr>
              <w:jc w:val="center"/>
              <w:rPr>
                <w:sz w:val="28"/>
                <w:szCs w:val="28"/>
              </w:rPr>
            </w:pPr>
            <w:r>
              <w:rPr>
                <w:sz w:val="28"/>
                <w:szCs w:val="28"/>
              </w:rPr>
              <w:t xml:space="preserve">8.47 </w:t>
            </w:r>
            <w:r w:rsidRPr="00EC5E64">
              <w:rPr>
                <w:b/>
                <w:color w:val="00B050"/>
                <w:sz w:val="28"/>
                <w:szCs w:val="28"/>
              </w:rPr>
              <w:sym w:font="Wingdings" w:char="F0E9"/>
            </w:r>
          </w:p>
        </w:tc>
      </w:tr>
      <w:tr w:rsidR="00473295" w:rsidRPr="00004082" w14:paraId="33DFF423" w14:textId="77777777" w:rsidTr="008A1C74">
        <w:trPr>
          <w:trHeight w:val="397"/>
          <w:jc w:val="center"/>
        </w:trPr>
        <w:tc>
          <w:tcPr>
            <w:tcW w:w="7508" w:type="dxa"/>
            <w:gridSpan w:val="2"/>
            <w:tcBorders>
              <w:bottom w:val="single" w:sz="4" w:space="0" w:color="auto"/>
            </w:tcBorders>
            <w:vAlign w:val="center"/>
          </w:tcPr>
          <w:p w14:paraId="1C3853BC" w14:textId="78D3F23E" w:rsidR="00473295" w:rsidRPr="001B7E1E" w:rsidRDefault="00473295" w:rsidP="008A1C74">
            <w:pPr>
              <w:jc w:val="center"/>
              <w:rPr>
                <w:b/>
                <w:sz w:val="28"/>
                <w:szCs w:val="28"/>
              </w:rPr>
            </w:pPr>
            <w:r w:rsidRPr="001B7E1E">
              <w:rPr>
                <w:b/>
                <w:sz w:val="28"/>
                <w:szCs w:val="28"/>
              </w:rPr>
              <w:t>RANK POSITION:</w:t>
            </w:r>
            <w:r>
              <w:rPr>
                <w:b/>
                <w:sz w:val="28"/>
                <w:szCs w:val="28"/>
              </w:rPr>
              <w:t xml:space="preserve">  </w:t>
            </w:r>
            <w:r w:rsidR="009462B0">
              <w:rPr>
                <w:b/>
                <w:sz w:val="28"/>
                <w:szCs w:val="28"/>
              </w:rPr>
              <w:t>29</w:t>
            </w:r>
            <w:r>
              <w:rPr>
                <w:b/>
                <w:sz w:val="28"/>
                <w:szCs w:val="28"/>
              </w:rPr>
              <w:t xml:space="preserve">  </w:t>
            </w:r>
            <w:r w:rsidRPr="001B7E1E">
              <w:rPr>
                <w:b/>
                <w:sz w:val="28"/>
                <w:szCs w:val="28"/>
              </w:rPr>
              <w:t xml:space="preserve">RANK MOVEMENT: </w:t>
            </w:r>
            <w:r w:rsidR="009462B0">
              <w:rPr>
                <w:b/>
                <w:sz w:val="28"/>
                <w:szCs w:val="28"/>
              </w:rPr>
              <w:t>-2</w:t>
            </w:r>
            <w:r w:rsidR="00E36DE8">
              <w:rPr>
                <w:b/>
                <w:sz w:val="28"/>
                <w:szCs w:val="28"/>
              </w:rPr>
              <w:t xml:space="preserve"> </w:t>
            </w:r>
            <w:r w:rsidR="00E36DE8" w:rsidRPr="00C14931">
              <w:rPr>
                <w:b/>
                <w:color w:val="FF0000"/>
                <w:sz w:val="28"/>
                <w:szCs w:val="28"/>
              </w:rPr>
              <w:sym w:font="Wingdings" w:char="F0EA"/>
            </w:r>
          </w:p>
        </w:tc>
        <w:tc>
          <w:tcPr>
            <w:tcW w:w="7801" w:type="dxa"/>
            <w:gridSpan w:val="2"/>
            <w:tcBorders>
              <w:bottom w:val="nil"/>
            </w:tcBorders>
            <w:shd w:val="clear" w:color="auto" w:fill="D9D9D9" w:themeFill="background1" w:themeFillShade="D9"/>
            <w:vAlign w:val="center"/>
          </w:tcPr>
          <w:p w14:paraId="37F101D4" w14:textId="77777777" w:rsidR="00473295" w:rsidRPr="001B7E1E" w:rsidRDefault="00473295" w:rsidP="008A1C74">
            <w:pPr>
              <w:jc w:val="center"/>
              <w:rPr>
                <w:sz w:val="28"/>
                <w:szCs w:val="28"/>
              </w:rPr>
            </w:pPr>
          </w:p>
        </w:tc>
      </w:tr>
      <w:tr w:rsidR="00473295" w:rsidRPr="00004082" w14:paraId="5C1CF9FE" w14:textId="77777777" w:rsidTr="008A1C74">
        <w:trPr>
          <w:trHeight w:val="397"/>
          <w:jc w:val="center"/>
        </w:trPr>
        <w:tc>
          <w:tcPr>
            <w:tcW w:w="7508" w:type="dxa"/>
            <w:gridSpan w:val="2"/>
            <w:tcBorders>
              <w:bottom w:val="nil"/>
            </w:tcBorders>
            <w:shd w:val="clear" w:color="auto" w:fill="D9E2F3" w:themeFill="accent5" w:themeFillTint="33"/>
            <w:vAlign w:val="center"/>
          </w:tcPr>
          <w:p w14:paraId="31A5BF8D" w14:textId="77777777" w:rsidR="00473295" w:rsidRPr="001B7E1E" w:rsidRDefault="00473295" w:rsidP="008A1C74">
            <w:pPr>
              <w:jc w:val="center"/>
              <w:rPr>
                <w:b/>
                <w:sz w:val="28"/>
                <w:szCs w:val="28"/>
              </w:rPr>
            </w:pPr>
            <w:r>
              <w:rPr>
                <w:b/>
                <w:sz w:val="28"/>
                <w:szCs w:val="28"/>
              </w:rPr>
              <w:t>FAMILY GROUP RANKING 2018/19</w:t>
            </w:r>
          </w:p>
        </w:tc>
        <w:tc>
          <w:tcPr>
            <w:tcW w:w="7801" w:type="dxa"/>
            <w:gridSpan w:val="2"/>
            <w:tcBorders>
              <w:top w:val="nil"/>
              <w:bottom w:val="nil"/>
            </w:tcBorders>
            <w:shd w:val="clear" w:color="auto" w:fill="D9D9D9" w:themeFill="background1" w:themeFillShade="D9"/>
            <w:vAlign w:val="center"/>
          </w:tcPr>
          <w:p w14:paraId="3EB26016" w14:textId="77777777" w:rsidR="00473295" w:rsidRPr="001B7E1E" w:rsidRDefault="00473295" w:rsidP="008A1C74">
            <w:pPr>
              <w:jc w:val="center"/>
              <w:rPr>
                <w:sz w:val="28"/>
                <w:szCs w:val="28"/>
              </w:rPr>
            </w:pPr>
          </w:p>
        </w:tc>
      </w:tr>
      <w:tr w:rsidR="00473295" w:rsidRPr="00004082" w14:paraId="10C240BA" w14:textId="77777777" w:rsidTr="008A1C74">
        <w:trPr>
          <w:trHeight w:val="397"/>
          <w:jc w:val="center"/>
        </w:trPr>
        <w:tc>
          <w:tcPr>
            <w:tcW w:w="7508" w:type="dxa"/>
            <w:gridSpan w:val="2"/>
            <w:tcBorders>
              <w:top w:val="nil"/>
            </w:tcBorders>
            <w:shd w:val="clear" w:color="auto" w:fill="D9E2F3" w:themeFill="accent5" w:themeFillTint="33"/>
            <w:vAlign w:val="center"/>
          </w:tcPr>
          <w:p w14:paraId="5EAF627C" w14:textId="5DEC3ABC" w:rsidR="00473295" w:rsidRPr="001B7E1E" w:rsidRDefault="00473295" w:rsidP="008A1C74">
            <w:pPr>
              <w:jc w:val="center"/>
              <w:rPr>
                <w:b/>
                <w:sz w:val="28"/>
                <w:szCs w:val="28"/>
              </w:rPr>
            </w:pPr>
            <w:r>
              <w:rPr>
                <w:b/>
                <w:sz w:val="28"/>
                <w:szCs w:val="28"/>
              </w:rPr>
              <w:t xml:space="preserve">RANK POSITION:  </w:t>
            </w:r>
            <w:r w:rsidR="009462B0">
              <w:rPr>
                <w:b/>
                <w:sz w:val="28"/>
                <w:szCs w:val="28"/>
              </w:rPr>
              <w:t>6</w:t>
            </w:r>
            <w:r>
              <w:rPr>
                <w:b/>
                <w:sz w:val="28"/>
                <w:szCs w:val="28"/>
              </w:rPr>
              <w:t xml:space="preserve">  RANK MOVEMENT: </w:t>
            </w:r>
            <w:r w:rsidR="009462B0">
              <w:rPr>
                <w:b/>
                <w:sz w:val="28"/>
                <w:szCs w:val="28"/>
              </w:rPr>
              <w:t>0</w:t>
            </w:r>
            <w:r w:rsidR="00E36DE8">
              <w:rPr>
                <w:b/>
                <w:sz w:val="28"/>
                <w:szCs w:val="28"/>
              </w:rPr>
              <w:t xml:space="preserve"> </w:t>
            </w:r>
            <w:r w:rsidR="00E36DE8" w:rsidRPr="00A83E3B">
              <w:rPr>
                <w:b/>
                <w:color w:val="0070C0"/>
                <w:sz w:val="28"/>
                <w:szCs w:val="28"/>
              </w:rPr>
              <w:sym w:font="Wingdings" w:char="F0E8"/>
            </w:r>
          </w:p>
        </w:tc>
        <w:tc>
          <w:tcPr>
            <w:tcW w:w="7801" w:type="dxa"/>
            <w:gridSpan w:val="2"/>
            <w:tcBorders>
              <w:top w:val="nil"/>
            </w:tcBorders>
            <w:shd w:val="clear" w:color="auto" w:fill="D9D9D9" w:themeFill="background1" w:themeFillShade="D9"/>
            <w:vAlign w:val="center"/>
          </w:tcPr>
          <w:p w14:paraId="09620764" w14:textId="77777777" w:rsidR="00473295" w:rsidRPr="001B7E1E" w:rsidRDefault="00473295" w:rsidP="008A1C74">
            <w:pPr>
              <w:jc w:val="center"/>
              <w:rPr>
                <w:sz w:val="28"/>
                <w:szCs w:val="28"/>
              </w:rPr>
            </w:pPr>
          </w:p>
        </w:tc>
      </w:tr>
      <w:tr w:rsidR="00473295" w:rsidRPr="00004082" w14:paraId="10F1A908" w14:textId="77777777" w:rsidTr="008A1C74">
        <w:trPr>
          <w:trHeight w:val="397"/>
          <w:jc w:val="center"/>
        </w:trPr>
        <w:tc>
          <w:tcPr>
            <w:tcW w:w="15309" w:type="dxa"/>
            <w:gridSpan w:val="4"/>
            <w:vAlign w:val="center"/>
          </w:tcPr>
          <w:p w14:paraId="0739D84B" w14:textId="77777777" w:rsidR="00473295" w:rsidRPr="008372FF" w:rsidRDefault="00473295" w:rsidP="008A1C74">
            <w:pPr>
              <w:rPr>
                <w:sz w:val="6"/>
                <w:szCs w:val="6"/>
              </w:rPr>
            </w:pPr>
          </w:p>
          <w:p w14:paraId="512B7BFA" w14:textId="77777777" w:rsidR="00473295" w:rsidRDefault="00473295" w:rsidP="000F4CDF">
            <w:pPr>
              <w:spacing w:after="120"/>
              <w:rPr>
                <w:b/>
                <w:sz w:val="28"/>
                <w:szCs w:val="28"/>
              </w:rPr>
            </w:pPr>
            <w:r w:rsidRPr="00004082">
              <w:rPr>
                <w:b/>
                <w:sz w:val="28"/>
                <w:szCs w:val="28"/>
              </w:rPr>
              <w:t>TELLING OUR STORY:</w:t>
            </w:r>
          </w:p>
          <w:p w14:paraId="140E325D" w14:textId="70095A00" w:rsidR="00975BF1" w:rsidRPr="001453C3" w:rsidRDefault="00975BF1" w:rsidP="000F4CDF">
            <w:pPr>
              <w:spacing w:after="120"/>
              <w:rPr>
                <w:rFonts w:cstheme="minorHAnsi"/>
                <w:sz w:val="24"/>
                <w:szCs w:val="24"/>
              </w:rPr>
            </w:pPr>
            <w:r w:rsidRPr="001453C3">
              <w:rPr>
                <w:rFonts w:cstheme="minorHAnsi"/>
                <w:sz w:val="24"/>
                <w:szCs w:val="24"/>
              </w:rPr>
              <w:t>Although Argyll and Bute's performance has improved in absolute terms, we have moved down the Scottish rankings.</w:t>
            </w:r>
          </w:p>
          <w:p w14:paraId="0C4011A5" w14:textId="77777777" w:rsidR="00473295" w:rsidRPr="008372FF" w:rsidRDefault="00473295" w:rsidP="008A1C74">
            <w:pPr>
              <w:rPr>
                <w:rFonts w:ascii="Arial" w:hAnsi="Arial" w:cs="Arial"/>
                <w:szCs w:val="28"/>
              </w:rPr>
            </w:pPr>
          </w:p>
        </w:tc>
      </w:tr>
      <w:tr w:rsidR="00473295" w:rsidRPr="00004082" w14:paraId="42187A02" w14:textId="77777777" w:rsidTr="008A1C74">
        <w:trPr>
          <w:trHeight w:val="397"/>
          <w:jc w:val="center"/>
        </w:trPr>
        <w:tc>
          <w:tcPr>
            <w:tcW w:w="15309" w:type="dxa"/>
            <w:gridSpan w:val="4"/>
            <w:vAlign w:val="center"/>
          </w:tcPr>
          <w:p w14:paraId="21EE5354" w14:textId="77777777" w:rsidR="00473295" w:rsidRPr="00CE0DAF" w:rsidRDefault="00473295" w:rsidP="008A1C74">
            <w:pPr>
              <w:rPr>
                <w:sz w:val="6"/>
                <w:szCs w:val="6"/>
              </w:rPr>
            </w:pPr>
          </w:p>
          <w:p w14:paraId="4EFF7290" w14:textId="77777777" w:rsidR="00473295" w:rsidRPr="00004082" w:rsidRDefault="00473295" w:rsidP="008A1C74">
            <w:pPr>
              <w:rPr>
                <w:b/>
                <w:sz w:val="28"/>
                <w:szCs w:val="28"/>
              </w:rPr>
            </w:pPr>
            <w:r>
              <w:rPr>
                <w:b/>
                <w:sz w:val="28"/>
                <w:szCs w:val="28"/>
              </w:rPr>
              <w:t>LOOKING FORWARD - EXPECTED IMPACT ON INDICATOR</w:t>
            </w:r>
            <w:r w:rsidRPr="00004082">
              <w:rPr>
                <w:b/>
                <w:sz w:val="28"/>
                <w:szCs w:val="28"/>
              </w:rPr>
              <w:t>:</w:t>
            </w:r>
          </w:p>
          <w:p w14:paraId="72805B7B" w14:textId="77777777" w:rsidR="00304D5D" w:rsidRDefault="00304D5D" w:rsidP="00304D5D">
            <w:pPr>
              <w:rPr>
                <w:rFonts w:cstheme="minorHAnsi"/>
                <w:sz w:val="24"/>
                <w:szCs w:val="24"/>
              </w:rPr>
            </w:pPr>
          </w:p>
          <w:p w14:paraId="746C1C23" w14:textId="2231E90D" w:rsidR="00304D5D" w:rsidRPr="00E828B4" w:rsidRDefault="00304D5D" w:rsidP="00304D5D">
            <w:pPr>
              <w:rPr>
                <w:rFonts w:cstheme="minorHAnsi"/>
                <w:sz w:val="24"/>
                <w:szCs w:val="24"/>
              </w:rPr>
            </w:pPr>
            <w:r w:rsidRPr="00E828B4">
              <w:rPr>
                <w:rFonts w:cstheme="minorHAnsi"/>
                <w:sz w:val="24"/>
                <w:szCs w:val="24"/>
              </w:rPr>
              <w:t xml:space="preserve">The suitability of </w:t>
            </w:r>
            <w:r>
              <w:rPr>
                <w:rFonts w:cstheme="minorHAnsi"/>
                <w:sz w:val="24"/>
                <w:szCs w:val="24"/>
              </w:rPr>
              <w:t>buildings is dependent on use and fabric investment.  The forecast of d</w:t>
            </w:r>
            <w:r w:rsidRPr="00E828B4">
              <w:rPr>
                <w:sz w:val="24"/>
                <w:szCs w:val="24"/>
              </w:rPr>
              <w:t>iminishing Central Repairs budgets resulting in limited planned maintenance with the associated increased risk of building element failures.</w:t>
            </w:r>
            <w:r>
              <w:rPr>
                <w:rFonts w:cstheme="minorHAnsi"/>
                <w:sz w:val="24"/>
                <w:szCs w:val="24"/>
              </w:rPr>
              <w:t xml:space="preserve"> </w:t>
            </w:r>
            <w:r w:rsidRPr="00E828B4">
              <w:rPr>
                <w:sz w:val="24"/>
                <w:szCs w:val="24"/>
              </w:rPr>
              <w:t>Addressing property related risks within the context of reduced capital budgets</w:t>
            </w:r>
            <w:r>
              <w:rPr>
                <w:sz w:val="24"/>
                <w:szCs w:val="24"/>
              </w:rPr>
              <w:t xml:space="preserve"> is also a challenge</w:t>
            </w:r>
            <w:r w:rsidRPr="00E828B4">
              <w:rPr>
                <w:sz w:val="24"/>
                <w:szCs w:val="24"/>
              </w:rPr>
              <w:t>.</w:t>
            </w:r>
            <w:r>
              <w:rPr>
                <w:sz w:val="24"/>
                <w:szCs w:val="24"/>
              </w:rPr>
              <w:t xml:space="preserve"> </w:t>
            </w:r>
            <w:r w:rsidRPr="00E828B4">
              <w:rPr>
                <w:sz w:val="24"/>
                <w:szCs w:val="24"/>
              </w:rPr>
              <w:t>Prioritising projects for inclusion within the capital plan in light of changing statutory, regulatory and political requirements.</w:t>
            </w:r>
            <w:r>
              <w:rPr>
                <w:rFonts w:cstheme="minorHAnsi"/>
                <w:sz w:val="24"/>
                <w:szCs w:val="24"/>
              </w:rPr>
              <w:t xml:space="preserve">  </w:t>
            </w:r>
            <w:r w:rsidRPr="00E828B4">
              <w:rPr>
                <w:sz w:val="24"/>
                <w:szCs w:val="24"/>
              </w:rPr>
              <w:t>The delivery of capital projects within schools during the summer vacation, espe</w:t>
            </w:r>
            <w:r w:rsidR="00A95B6B">
              <w:rPr>
                <w:sz w:val="24"/>
                <w:szCs w:val="24"/>
              </w:rPr>
              <w:t>cially given the impact of COVID</w:t>
            </w:r>
            <w:r w:rsidRPr="00E828B4">
              <w:rPr>
                <w:sz w:val="24"/>
                <w:szCs w:val="24"/>
              </w:rPr>
              <w:t>-19.</w:t>
            </w:r>
            <w:r>
              <w:rPr>
                <w:rFonts w:cstheme="minorHAnsi"/>
                <w:sz w:val="24"/>
                <w:szCs w:val="24"/>
              </w:rPr>
              <w:t xml:space="preserve">  </w:t>
            </w:r>
            <w:r w:rsidRPr="00E828B4">
              <w:rPr>
                <w:sz w:val="24"/>
                <w:szCs w:val="24"/>
              </w:rPr>
              <w:t>Managing the impacts and forecasts of climate change for the Council and also positively contributing to our obligations to reducing carbon emissions and increasing resource efficiency</w:t>
            </w:r>
            <w:r>
              <w:rPr>
                <w:sz w:val="24"/>
                <w:szCs w:val="24"/>
              </w:rPr>
              <w:t>.</w:t>
            </w:r>
          </w:p>
          <w:p w14:paraId="38DAEF3B" w14:textId="77777777" w:rsidR="00473295" w:rsidRPr="00CE0DAF" w:rsidRDefault="00473295" w:rsidP="008A1C74">
            <w:pPr>
              <w:rPr>
                <w:rFonts w:ascii="Arial" w:hAnsi="Arial" w:cs="Arial"/>
              </w:rPr>
            </w:pPr>
          </w:p>
        </w:tc>
      </w:tr>
    </w:tbl>
    <w:p w14:paraId="400D74D2" w14:textId="77777777" w:rsidR="00473295" w:rsidRDefault="00473295" w:rsidP="00473295">
      <w:r>
        <w:br w:type="page"/>
      </w:r>
    </w:p>
    <w:tbl>
      <w:tblPr>
        <w:tblStyle w:val="TableGrid5"/>
        <w:tblW w:w="15309" w:type="dxa"/>
        <w:jc w:val="center"/>
        <w:tblLook w:val="04A0" w:firstRow="1" w:lastRow="0" w:firstColumn="1" w:lastColumn="0" w:noHBand="0" w:noVBand="1"/>
      </w:tblPr>
      <w:tblGrid>
        <w:gridCol w:w="5949"/>
        <w:gridCol w:w="1559"/>
        <w:gridCol w:w="6095"/>
        <w:gridCol w:w="1706"/>
      </w:tblGrid>
      <w:tr w:rsidR="00473295" w:rsidRPr="005D65E6" w14:paraId="51D99530" w14:textId="77777777" w:rsidTr="008A1C74">
        <w:trPr>
          <w:trHeight w:val="794"/>
          <w:jc w:val="center"/>
        </w:trPr>
        <w:tc>
          <w:tcPr>
            <w:tcW w:w="15309" w:type="dxa"/>
            <w:gridSpan w:val="4"/>
            <w:vAlign w:val="center"/>
          </w:tcPr>
          <w:p w14:paraId="5F476AD0" w14:textId="075510D8" w:rsidR="00473295" w:rsidRPr="005D65E6" w:rsidRDefault="00473295" w:rsidP="00473295">
            <w:pPr>
              <w:rPr>
                <w:b/>
                <w:sz w:val="32"/>
              </w:rPr>
            </w:pPr>
            <w:r>
              <w:rPr>
                <w:b/>
                <w:sz w:val="32"/>
              </w:rPr>
              <w:lastRenderedPageBreak/>
              <w:t>S</w:t>
            </w:r>
            <w:r w:rsidRPr="005D65E6">
              <w:rPr>
                <w:b/>
                <w:sz w:val="32"/>
              </w:rPr>
              <w:t xml:space="preserve">ERVICE: </w:t>
            </w:r>
            <w:r>
              <w:rPr>
                <w:b/>
                <w:sz w:val="32"/>
              </w:rPr>
              <w:t>COMMERCIAL</w:t>
            </w:r>
            <w:r w:rsidRPr="005D65E6">
              <w:rPr>
                <w:b/>
                <w:sz w:val="32"/>
              </w:rPr>
              <w:t xml:space="preserve"> SERVICES</w:t>
            </w:r>
          </w:p>
        </w:tc>
      </w:tr>
      <w:tr w:rsidR="00473295" w:rsidRPr="005B1C4B" w14:paraId="7E0C03A0" w14:textId="77777777" w:rsidTr="008A1C74">
        <w:trPr>
          <w:trHeight w:val="567"/>
          <w:jc w:val="center"/>
        </w:trPr>
        <w:tc>
          <w:tcPr>
            <w:tcW w:w="15309" w:type="dxa"/>
            <w:gridSpan w:val="4"/>
            <w:vAlign w:val="center"/>
          </w:tcPr>
          <w:p w14:paraId="233D344C" w14:textId="77777777" w:rsidR="00473295" w:rsidRPr="005B1C4B" w:rsidRDefault="00473295" w:rsidP="008A1C74">
            <w:pPr>
              <w:pStyle w:val="Heading1"/>
              <w:spacing w:before="0"/>
              <w:outlineLvl w:val="0"/>
              <w:rPr>
                <w:b/>
                <w:color w:val="auto"/>
              </w:rPr>
            </w:pPr>
            <w:bookmarkStart w:id="23" w:name="_Toc56757701"/>
            <w:r w:rsidRPr="005B1C4B">
              <w:rPr>
                <w:b/>
                <w:color w:val="auto"/>
              </w:rPr>
              <w:t>INDICATOR REF: CORP ASSET2 - Percentage of internal floor area of operational buildings in satisfactory condition</w:t>
            </w:r>
            <w:bookmarkEnd w:id="23"/>
            <w:r w:rsidRPr="005B1C4B">
              <w:rPr>
                <w:b/>
                <w:color w:val="auto"/>
              </w:rPr>
              <w:t xml:space="preserve"> </w:t>
            </w:r>
          </w:p>
        </w:tc>
      </w:tr>
      <w:tr w:rsidR="00473295" w:rsidRPr="00004082" w14:paraId="046116B0" w14:textId="77777777" w:rsidTr="008A1C74">
        <w:trPr>
          <w:trHeight w:val="454"/>
          <w:jc w:val="center"/>
        </w:trPr>
        <w:tc>
          <w:tcPr>
            <w:tcW w:w="15309" w:type="dxa"/>
            <w:gridSpan w:val="4"/>
            <w:vAlign w:val="center"/>
          </w:tcPr>
          <w:p w14:paraId="2DF3FDEC" w14:textId="1A909175" w:rsidR="00473295" w:rsidRPr="00982378" w:rsidRDefault="00473295" w:rsidP="008A1C74">
            <w:pPr>
              <w:jc w:val="center"/>
              <w:rPr>
                <w:b/>
                <w:color w:val="0070C0"/>
                <w:sz w:val="28"/>
                <w:szCs w:val="28"/>
              </w:rPr>
            </w:pPr>
            <w:r w:rsidRPr="00C577BD">
              <w:rPr>
                <w:b/>
                <w:color w:val="0070C0"/>
                <w:sz w:val="28"/>
                <w:szCs w:val="28"/>
              </w:rPr>
              <w:t>Performance Range:</w:t>
            </w:r>
            <w:r w:rsidRPr="004C7782">
              <w:rPr>
                <w:b/>
                <w:color w:val="0070C0"/>
                <w:sz w:val="28"/>
                <w:szCs w:val="28"/>
              </w:rPr>
              <w:t xml:space="preserve"> </w:t>
            </w:r>
            <w:r w:rsidR="009462B0">
              <w:rPr>
                <w:b/>
                <w:color w:val="0070C0"/>
                <w:sz w:val="28"/>
                <w:szCs w:val="28"/>
              </w:rPr>
              <w:t>54.23</w:t>
            </w:r>
            <w:r>
              <w:rPr>
                <w:b/>
                <w:color w:val="0070C0"/>
                <w:sz w:val="28"/>
                <w:szCs w:val="28"/>
              </w:rPr>
              <w:t xml:space="preserve">% to </w:t>
            </w:r>
            <w:r w:rsidR="009462B0">
              <w:rPr>
                <w:b/>
                <w:color w:val="0070C0"/>
                <w:sz w:val="28"/>
                <w:szCs w:val="28"/>
              </w:rPr>
              <w:t>99.64</w:t>
            </w:r>
            <w:r>
              <w:rPr>
                <w:b/>
                <w:color w:val="0070C0"/>
                <w:sz w:val="28"/>
                <w:szCs w:val="28"/>
              </w:rPr>
              <w:t>%  (Highest is best)</w:t>
            </w:r>
          </w:p>
        </w:tc>
      </w:tr>
      <w:tr w:rsidR="00473295" w:rsidRPr="00004082" w14:paraId="57555BB4" w14:textId="77777777" w:rsidTr="008A1C74">
        <w:trPr>
          <w:trHeight w:val="397"/>
          <w:jc w:val="center"/>
        </w:trPr>
        <w:tc>
          <w:tcPr>
            <w:tcW w:w="7508" w:type="dxa"/>
            <w:gridSpan w:val="2"/>
            <w:shd w:val="clear" w:color="auto" w:fill="D9E2F3" w:themeFill="accent5" w:themeFillTint="33"/>
            <w:vAlign w:val="center"/>
          </w:tcPr>
          <w:p w14:paraId="1BB00A26" w14:textId="77777777" w:rsidR="00473295" w:rsidRPr="00004082" w:rsidRDefault="00473295" w:rsidP="008A1C74">
            <w:pPr>
              <w:jc w:val="center"/>
              <w:rPr>
                <w:b/>
                <w:sz w:val="28"/>
                <w:szCs w:val="28"/>
              </w:rPr>
            </w:pPr>
            <w:r w:rsidRPr="00004082">
              <w:rPr>
                <w:b/>
                <w:sz w:val="28"/>
                <w:szCs w:val="28"/>
              </w:rPr>
              <w:t>ARGYLL AND BUTE</w:t>
            </w:r>
          </w:p>
        </w:tc>
        <w:tc>
          <w:tcPr>
            <w:tcW w:w="7801" w:type="dxa"/>
            <w:gridSpan w:val="2"/>
            <w:shd w:val="clear" w:color="auto" w:fill="D9E2F3" w:themeFill="accent5" w:themeFillTint="33"/>
            <w:vAlign w:val="center"/>
          </w:tcPr>
          <w:p w14:paraId="4B820DB9" w14:textId="77777777" w:rsidR="00473295" w:rsidRPr="00004082" w:rsidRDefault="00473295" w:rsidP="008A1C74">
            <w:pPr>
              <w:jc w:val="center"/>
              <w:rPr>
                <w:b/>
                <w:sz w:val="28"/>
                <w:szCs w:val="28"/>
              </w:rPr>
            </w:pPr>
            <w:r w:rsidRPr="00004082">
              <w:rPr>
                <w:b/>
                <w:sz w:val="28"/>
                <w:szCs w:val="28"/>
              </w:rPr>
              <w:t>SCOTLAND</w:t>
            </w:r>
          </w:p>
        </w:tc>
      </w:tr>
      <w:tr w:rsidR="00473295" w:rsidRPr="00004082" w14:paraId="1D729237" w14:textId="77777777" w:rsidTr="008A1C74">
        <w:trPr>
          <w:trHeight w:val="397"/>
          <w:jc w:val="center"/>
        </w:trPr>
        <w:tc>
          <w:tcPr>
            <w:tcW w:w="7508" w:type="dxa"/>
            <w:gridSpan w:val="2"/>
            <w:vAlign w:val="center"/>
          </w:tcPr>
          <w:p w14:paraId="00ABFF02" w14:textId="3728EE9A" w:rsidR="00473295" w:rsidRPr="00721B18" w:rsidRDefault="009462B0" w:rsidP="008A1C74">
            <w:pPr>
              <w:jc w:val="center"/>
              <w:rPr>
                <w:b/>
                <w:sz w:val="28"/>
                <w:szCs w:val="28"/>
              </w:rPr>
            </w:pPr>
            <w:r>
              <w:rPr>
                <w:b/>
                <w:sz w:val="28"/>
                <w:szCs w:val="28"/>
              </w:rPr>
              <w:t>95.73</w:t>
            </w:r>
            <w:r w:rsidR="00473295">
              <w:rPr>
                <w:b/>
                <w:sz w:val="28"/>
                <w:szCs w:val="28"/>
              </w:rPr>
              <w:t>%</w:t>
            </w:r>
          </w:p>
        </w:tc>
        <w:tc>
          <w:tcPr>
            <w:tcW w:w="7801" w:type="dxa"/>
            <w:gridSpan w:val="2"/>
            <w:vAlign w:val="center"/>
          </w:tcPr>
          <w:p w14:paraId="61629171" w14:textId="69990457" w:rsidR="00473295" w:rsidRPr="00004082" w:rsidRDefault="009462B0" w:rsidP="008A1C74">
            <w:pPr>
              <w:jc w:val="center"/>
              <w:rPr>
                <w:b/>
                <w:sz w:val="28"/>
                <w:szCs w:val="28"/>
              </w:rPr>
            </w:pPr>
            <w:r>
              <w:rPr>
                <w:b/>
                <w:sz w:val="28"/>
                <w:szCs w:val="28"/>
              </w:rPr>
              <w:t>87.21</w:t>
            </w:r>
            <w:r w:rsidR="00473295">
              <w:rPr>
                <w:b/>
                <w:sz w:val="28"/>
                <w:szCs w:val="28"/>
              </w:rPr>
              <w:t>%</w:t>
            </w:r>
          </w:p>
        </w:tc>
      </w:tr>
      <w:tr w:rsidR="00473295" w:rsidRPr="00004082" w14:paraId="10FE0B54" w14:textId="77777777" w:rsidTr="008A1C74">
        <w:trPr>
          <w:trHeight w:val="397"/>
          <w:jc w:val="center"/>
        </w:trPr>
        <w:tc>
          <w:tcPr>
            <w:tcW w:w="5949" w:type="dxa"/>
            <w:vAlign w:val="center"/>
          </w:tcPr>
          <w:p w14:paraId="4F601814" w14:textId="77777777" w:rsidR="00473295" w:rsidRPr="00721B18" w:rsidRDefault="00473295" w:rsidP="008A1C74">
            <w:pPr>
              <w:jc w:val="center"/>
              <w:rPr>
                <w:b/>
                <w:sz w:val="28"/>
                <w:szCs w:val="28"/>
              </w:rPr>
            </w:pPr>
            <w:r w:rsidRPr="00721B18">
              <w:rPr>
                <w:b/>
                <w:sz w:val="28"/>
                <w:szCs w:val="28"/>
              </w:rPr>
              <w:t>CHANGE 201</w:t>
            </w:r>
            <w:r>
              <w:rPr>
                <w:b/>
                <w:sz w:val="28"/>
                <w:szCs w:val="28"/>
              </w:rPr>
              <w:t>7</w:t>
            </w:r>
            <w:r w:rsidRPr="00721B18">
              <w:rPr>
                <w:b/>
                <w:sz w:val="28"/>
                <w:szCs w:val="28"/>
              </w:rPr>
              <w:t>/1</w:t>
            </w:r>
            <w:r>
              <w:rPr>
                <w:b/>
                <w:sz w:val="28"/>
                <w:szCs w:val="28"/>
              </w:rPr>
              <w:t>8</w:t>
            </w:r>
            <w:r w:rsidRPr="00721B18">
              <w:rPr>
                <w:b/>
                <w:sz w:val="28"/>
                <w:szCs w:val="28"/>
              </w:rPr>
              <w:t xml:space="preserve"> TO </w:t>
            </w:r>
            <w:r>
              <w:rPr>
                <w:b/>
                <w:sz w:val="28"/>
                <w:szCs w:val="28"/>
              </w:rPr>
              <w:t>2018/19</w:t>
            </w:r>
          </w:p>
        </w:tc>
        <w:tc>
          <w:tcPr>
            <w:tcW w:w="1559" w:type="dxa"/>
            <w:vAlign w:val="center"/>
          </w:tcPr>
          <w:p w14:paraId="348897C6" w14:textId="4A5E2BE9" w:rsidR="00473295" w:rsidRPr="00721B18" w:rsidRDefault="009462B0" w:rsidP="008A1C74">
            <w:pPr>
              <w:jc w:val="center"/>
              <w:rPr>
                <w:b/>
                <w:sz w:val="28"/>
                <w:szCs w:val="28"/>
              </w:rPr>
            </w:pPr>
            <w:r>
              <w:rPr>
                <w:b/>
                <w:sz w:val="28"/>
                <w:szCs w:val="28"/>
              </w:rPr>
              <w:t>-1.11</w:t>
            </w:r>
            <w:r w:rsidR="00E36DE8">
              <w:rPr>
                <w:b/>
                <w:sz w:val="28"/>
                <w:szCs w:val="28"/>
              </w:rPr>
              <w:t xml:space="preserve"> </w:t>
            </w:r>
            <w:r w:rsidR="00E36DE8" w:rsidRPr="00C14931">
              <w:rPr>
                <w:b/>
                <w:color w:val="FF0000"/>
                <w:sz w:val="28"/>
                <w:szCs w:val="28"/>
              </w:rPr>
              <w:sym w:font="Wingdings" w:char="F0EA"/>
            </w:r>
          </w:p>
        </w:tc>
        <w:tc>
          <w:tcPr>
            <w:tcW w:w="6095" w:type="dxa"/>
            <w:vAlign w:val="center"/>
          </w:tcPr>
          <w:p w14:paraId="77335EF8" w14:textId="77777777" w:rsidR="00473295" w:rsidRDefault="00473295" w:rsidP="008A1C74">
            <w:pPr>
              <w:jc w:val="center"/>
              <w:rPr>
                <w:b/>
                <w:sz w:val="28"/>
                <w:szCs w:val="28"/>
              </w:rPr>
            </w:pPr>
            <w:r>
              <w:rPr>
                <w:sz w:val="28"/>
                <w:szCs w:val="28"/>
              </w:rPr>
              <w:t>CHANGE 2017/18 TO 2018/19</w:t>
            </w:r>
          </w:p>
        </w:tc>
        <w:tc>
          <w:tcPr>
            <w:tcW w:w="1706" w:type="dxa"/>
            <w:vAlign w:val="center"/>
          </w:tcPr>
          <w:p w14:paraId="08CF3A59" w14:textId="0F9B00B6" w:rsidR="00473295" w:rsidRPr="00E36DE8" w:rsidRDefault="00E36DE8" w:rsidP="008A1C74">
            <w:pPr>
              <w:jc w:val="center"/>
              <w:rPr>
                <w:b/>
                <w:sz w:val="28"/>
                <w:szCs w:val="28"/>
              </w:rPr>
            </w:pPr>
            <w:r>
              <w:rPr>
                <w:sz w:val="28"/>
                <w:szCs w:val="28"/>
              </w:rPr>
              <w:t xml:space="preserve">0.91 </w:t>
            </w:r>
            <w:r w:rsidRPr="00EC5E64">
              <w:rPr>
                <w:b/>
                <w:color w:val="00B050"/>
                <w:sz w:val="28"/>
                <w:szCs w:val="28"/>
              </w:rPr>
              <w:sym w:font="Wingdings" w:char="F0E9"/>
            </w:r>
          </w:p>
        </w:tc>
      </w:tr>
      <w:tr w:rsidR="00473295" w:rsidRPr="00004082" w14:paraId="611EA21D" w14:textId="77777777" w:rsidTr="008A1C74">
        <w:trPr>
          <w:trHeight w:val="397"/>
          <w:jc w:val="center"/>
        </w:trPr>
        <w:tc>
          <w:tcPr>
            <w:tcW w:w="5949" w:type="dxa"/>
            <w:vAlign w:val="center"/>
          </w:tcPr>
          <w:p w14:paraId="7D054252" w14:textId="77777777" w:rsidR="00473295" w:rsidRPr="00721B18" w:rsidRDefault="00473295" w:rsidP="008A1C74">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2018/19</w:t>
            </w:r>
          </w:p>
        </w:tc>
        <w:tc>
          <w:tcPr>
            <w:tcW w:w="1559" w:type="dxa"/>
            <w:vAlign w:val="center"/>
          </w:tcPr>
          <w:p w14:paraId="4DCE3574" w14:textId="33EEBF1F" w:rsidR="00473295" w:rsidRPr="00721B18" w:rsidRDefault="009462B0" w:rsidP="008A1C74">
            <w:pPr>
              <w:jc w:val="center"/>
              <w:rPr>
                <w:b/>
                <w:sz w:val="28"/>
                <w:szCs w:val="28"/>
              </w:rPr>
            </w:pPr>
            <w:r>
              <w:rPr>
                <w:b/>
                <w:sz w:val="28"/>
                <w:szCs w:val="28"/>
              </w:rPr>
              <w:t>15.74</w:t>
            </w:r>
            <w:r w:rsidR="00E36DE8">
              <w:rPr>
                <w:b/>
                <w:sz w:val="28"/>
                <w:szCs w:val="28"/>
              </w:rPr>
              <w:t xml:space="preserve"> </w:t>
            </w:r>
            <w:r w:rsidR="00E36DE8" w:rsidRPr="00EC5E64">
              <w:rPr>
                <w:b/>
                <w:color w:val="00B050"/>
                <w:sz w:val="28"/>
                <w:szCs w:val="28"/>
              </w:rPr>
              <w:sym w:font="Wingdings" w:char="F0E9"/>
            </w:r>
          </w:p>
        </w:tc>
        <w:tc>
          <w:tcPr>
            <w:tcW w:w="6095" w:type="dxa"/>
            <w:tcBorders>
              <w:bottom w:val="single" w:sz="4" w:space="0" w:color="auto"/>
            </w:tcBorders>
            <w:vAlign w:val="center"/>
          </w:tcPr>
          <w:p w14:paraId="7AE5921B" w14:textId="77777777" w:rsidR="00473295" w:rsidRDefault="00473295" w:rsidP="008A1C74">
            <w:pPr>
              <w:jc w:val="center"/>
              <w:rPr>
                <w:sz w:val="28"/>
                <w:szCs w:val="28"/>
              </w:rPr>
            </w:pPr>
            <w:r>
              <w:rPr>
                <w:sz w:val="28"/>
                <w:szCs w:val="28"/>
              </w:rPr>
              <w:t xml:space="preserve">CHANGE </w:t>
            </w:r>
            <w:r w:rsidRPr="00903E39">
              <w:rPr>
                <w:sz w:val="28"/>
                <w:szCs w:val="28"/>
              </w:rPr>
              <w:t xml:space="preserve">BASE YEAR </w:t>
            </w:r>
            <w:r>
              <w:rPr>
                <w:sz w:val="28"/>
                <w:szCs w:val="28"/>
              </w:rPr>
              <w:t>TO 2018/19</w:t>
            </w:r>
          </w:p>
        </w:tc>
        <w:tc>
          <w:tcPr>
            <w:tcW w:w="1706" w:type="dxa"/>
            <w:tcBorders>
              <w:bottom w:val="single" w:sz="4" w:space="0" w:color="auto"/>
            </w:tcBorders>
            <w:vAlign w:val="center"/>
          </w:tcPr>
          <w:p w14:paraId="54231662" w14:textId="1A4EAB7E" w:rsidR="00473295" w:rsidRPr="00E36DE8" w:rsidRDefault="00E36DE8" w:rsidP="008A1C74">
            <w:pPr>
              <w:jc w:val="center"/>
              <w:rPr>
                <w:sz w:val="28"/>
                <w:szCs w:val="28"/>
              </w:rPr>
            </w:pPr>
            <w:r>
              <w:rPr>
                <w:sz w:val="28"/>
                <w:szCs w:val="28"/>
              </w:rPr>
              <w:t xml:space="preserve">5.91 </w:t>
            </w:r>
            <w:r w:rsidRPr="00EC5E64">
              <w:rPr>
                <w:b/>
                <w:color w:val="00B050"/>
                <w:sz w:val="28"/>
                <w:szCs w:val="28"/>
              </w:rPr>
              <w:sym w:font="Wingdings" w:char="F0E9"/>
            </w:r>
          </w:p>
        </w:tc>
      </w:tr>
      <w:tr w:rsidR="00473295" w:rsidRPr="00004082" w14:paraId="19D8B112" w14:textId="77777777" w:rsidTr="008A1C74">
        <w:trPr>
          <w:trHeight w:val="397"/>
          <w:jc w:val="center"/>
        </w:trPr>
        <w:tc>
          <w:tcPr>
            <w:tcW w:w="7508" w:type="dxa"/>
            <w:gridSpan w:val="2"/>
            <w:tcBorders>
              <w:bottom w:val="single" w:sz="4" w:space="0" w:color="auto"/>
            </w:tcBorders>
            <w:vAlign w:val="center"/>
          </w:tcPr>
          <w:p w14:paraId="6F3E1DAE" w14:textId="40F3C1B9" w:rsidR="00473295" w:rsidRDefault="00473295" w:rsidP="008A1C74">
            <w:pPr>
              <w:jc w:val="center"/>
              <w:rPr>
                <w:b/>
                <w:sz w:val="28"/>
                <w:szCs w:val="28"/>
              </w:rPr>
            </w:pPr>
            <w:r w:rsidRPr="00721B18">
              <w:rPr>
                <w:b/>
                <w:sz w:val="28"/>
                <w:szCs w:val="28"/>
              </w:rPr>
              <w:t>RANK POSITION:</w:t>
            </w:r>
            <w:r w:rsidRPr="009462B0">
              <w:rPr>
                <w:b/>
                <w:sz w:val="28"/>
                <w:szCs w:val="28"/>
              </w:rPr>
              <w:t xml:space="preserve">  </w:t>
            </w:r>
            <w:r w:rsidR="009462B0">
              <w:rPr>
                <w:b/>
                <w:sz w:val="28"/>
                <w:szCs w:val="28"/>
              </w:rPr>
              <w:t>7</w:t>
            </w:r>
            <w:r w:rsidRPr="009462B0">
              <w:rPr>
                <w:b/>
                <w:sz w:val="28"/>
                <w:szCs w:val="28"/>
              </w:rPr>
              <w:t xml:space="preserve">  </w:t>
            </w:r>
            <w:r w:rsidRPr="00721B18">
              <w:rPr>
                <w:b/>
                <w:sz w:val="28"/>
                <w:szCs w:val="28"/>
              </w:rPr>
              <w:t xml:space="preserve">RANK MOVEMENT: </w:t>
            </w:r>
            <w:r w:rsidR="009462B0">
              <w:rPr>
                <w:b/>
                <w:sz w:val="28"/>
                <w:szCs w:val="28"/>
              </w:rPr>
              <w:t>0</w:t>
            </w:r>
            <w:r w:rsidR="00E36DE8">
              <w:rPr>
                <w:b/>
                <w:sz w:val="28"/>
                <w:szCs w:val="28"/>
              </w:rPr>
              <w:t xml:space="preserve"> </w:t>
            </w:r>
            <w:r w:rsidR="00E36DE8" w:rsidRPr="00A83E3B">
              <w:rPr>
                <w:b/>
                <w:color w:val="0070C0"/>
                <w:sz w:val="28"/>
                <w:szCs w:val="28"/>
              </w:rPr>
              <w:sym w:font="Wingdings" w:char="F0E8"/>
            </w:r>
            <w:r w:rsidR="00E36DE8">
              <w:rPr>
                <w:b/>
                <w:color w:val="0070C0"/>
                <w:sz w:val="28"/>
                <w:szCs w:val="28"/>
              </w:rPr>
              <w:t xml:space="preserve">     </w:t>
            </w:r>
          </w:p>
        </w:tc>
        <w:tc>
          <w:tcPr>
            <w:tcW w:w="7801" w:type="dxa"/>
            <w:gridSpan w:val="2"/>
            <w:tcBorders>
              <w:bottom w:val="nil"/>
            </w:tcBorders>
            <w:shd w:val="clear" w:color="auto" w:fill="D9D9D9" w:themeFill="background1" w:themeFillShade="D9"/>
            <w:vAlign w:val="center"/>
          </w:tcPr>
          <w:p w14:paraId="3D0592AC" w14:textId="77777777" w:rsidR="00473295" w:rsidRDefault="00473295" w:rsidP="008A1C74">
            <w:pPr>
              <w:jc w:val="center"/>
              <w:rPr>
                <w:sz w:val="28"/>
                <w:szCs w:val="28"/>
              </w:rPr>
            </w:pPr>
          </w:p>
        </w:tc>
      </w:tr>
      <w:tr w:rsidR="00473295" w:rsidRPr="00004082" w14:paraId="0BB69979" w14:textId="77777777" w:rsidTr="008A1C74">
        <w:trPr>
          <w:trHeight w:val="397"/>
          <w:jc w:val="center"/>
        </w:trPr>
        <w:tc>
          <w:tcPr>
            <w:tcW w:w="7508" w:type="dxa"/>
            <w:gridSpan w:val="2"/>
            <w:tcBorders>
              <w:bottom w:val="nil"/>
            </w:tcBorders>
            <w:shd w:val="clear" w:color="auto" w:fill="D9E2F3" w:themeFill="accent5" w:themeFillTint="33"/>
            <w:vAlign w:val="center"/>
          </w:tcPr>
          <w:p w14:paraId="290DB830" w14:textId="77777777" w:rsidR="00473295" w:rsidRPr="00721B18" w:rsidRDefault="00473295" w:rsidP="008A1C74">
            <w:pPr>
              <w:jc w:val="center"/>
              <w:rPr>
                <w:b/>
                <w:sz w:val="28"/>
                <w:szCs w:val="28"/>
              </w:rPr>
            </w:pPr>
            <w:r>
              <w:rPr>
                <w:b/>
                <w:sz w:val="28"/>
                <w:szCs w:val="28"/>
              </w:rPr>
              <w:t>FAMILY GROUP RANKING 2018/19</w:t>
            </w:r>
          </w:p>
        </w:tc>
        <w:tc>
          <w:tcPr>
            <w:tcW w:w="7801" w:type="dxa"/>
            <w:gridSpan w:val="2"/>
            <w:tcBorders>
              <w:top w:val="nil"/>
              <w:bottom w:val="nil"/>
            </w:tcBorders>
            <w:shd w:val="clear" w:color="auto" w:fill="D9D9D9" w:themeFill="background1" w:themeFillShade="D9"/>
            <w:vAlign w:val="center"/>
          </w:tcPr>
          <w:p w14:paraId="0E5FC934" w14:textId="77777777" w:rsidR="00473295" w:rsidRDefault="00473295" w:rsidP="008A1C74">
            <w:pPr>
              <w:jc w:val="center"/>
              <w:rPr>
                <w:sz w:val="28"/>
                <w:szCs w:val="28"/>
              </w:rPr>
            </w:pPr>
          </w:p>
        </w:tc>
      </w:tr>
      <w:tr w:rsidR="00473295" w:rsidRPr="00004082" w14:paraId="22C9A841" w14:textId="77777777" w:rsidTr="008A1C74">
        <w:trPr>
          <w:trHeight w:val="397"/>
          <w:jc w:val="center"/>
        </w:trPr>
        <w:tc>
          <w:tcPr>
            <w:tcW w:w="7508" w:type="dxa"/>
            <w:gridSpan w:val="2"/>
            <w:tcBorders>
              <w:top w:val="nil"/>
            </w:tcBorders>
            <w:shd w:val="clear" w:color="auto" w:fill="D9E2F3" w:themeFill="accent5" w:themeFillTint="33"/>
            <w:vAlign w:val="center"/>
          </w:tcPr>
          <w:p w14:paraId="772A78AB" w14:textId="72976CDD" w:rsidR="00473295" w:rsidRPr="00721B18" w:rsidRDefault="00473295" w:rsidP="009462B0">
            <w:pPr>
              <w:jc w:val="center"/>
              <w:rPr>
                <w:b/>
                <w:sz w:val="28"/>
                <w:szCs w:val="28"/>
              </w:rPr>
            </w:pPr>
            <w:r>
              <w:rPr>
                <w:b/>
                <w:sz w:val="28"/>
                <w:szCs w:val="28"/>
              </w:rPr>
              <w:t xml:space="preserve">RANK POSITION: </w:t>
            </w:r>
            <w:r w:rsidR="009462B0">
              <w:rPr>
                <w:b/>
                <w:sz w:val="28"/>
                <w:szCs w:val="28"/>
              </w:rPr>
              <w:t>2</w:t>
            </w:r>
            <w:r>
              <w:rPr>
                <w:b/>
                <w:sz w:val="28"/>
                <w:szCs w:val="28"/>
              </w:rPr>
              <w:t xml:space="preserve">  RANK MOVEMENT: </w:t>
            </w:r>
            <w:r w:rsidR="009462B0">
              <w:rPr>
                <w:b/>
                <w:sz w:val="28"/>
                <w:szCs w:val="28"/>
              </w:rPr>
              <w:t>0</w:t>
            </w:r>
            <w:r w:rsidR="00E36DE8">
              <w:rPr>
                <w:b/>
                <w:sz w:val="28"/>
                <w:szCs w:val="28"/>
              </w:rPr>
              <w:t xml:space="preserve"> </w:t>
            </w:r>
            <w:r w:rsidR="00E36DE8" w:rsidRPr="00A83E3B">
              <w:rPr>
                <w:b/>
                <w:color w:val="0070C0"/>
                <w:sz w:val="28"/>
                <w:szCs w:val="28"/>
              </w:rPr>
              <w:sym w:font="Wingdings" w:char="F0E8"/>
            </w:r>
            <w:r w:rsidR="00E36DE8">
              <w:rPr>
                <w:b/>
                <w:color w:val="0070C0"/>
                <w:sz w:val="28"/>
                <w:szCs w:val="28"/>
              </w:rPr>
              <w:t xml:space="preserve">     </w:t>
            </w:r>
          </w:p>
        </w:tc>
        <w:tc>
          <w:tcPr>
            <w:tcW w:w="7801" w:type="dxa"/>
            <w:gridSpan w:val="2"/>
            <w:tcBorders>
              <w:top w:val="nil"/>
            </w:tcBorders>
            <w:shd w:val="clear" w:color="auto" w:fill="D9D9D9" w:themeFill="background1" w:themeFillShade="D9"/>
            <w:vAlign w:val="center"/>
          </w:tcPr>
          <w:p w14:paraId="33641D6D" w14:textId="77777777" w:rsidR="00473295" w:rsidRDefault="00473295" w:rsidP="008A1C74">
            <w:pPr>
              <w:jc w:val="center"/>
              <w:rPr>
                <w:sz w:val="28"/>
                <w:szCs w:val="28"/>
              </w:rPr>
            </w:pPr>
          </w:p>
        </w:tc>
      </w:tr>
      <w:tr w:rsidR="00473295" w:rsidRPr="00004082" w14:paraId="5E833A6E" w14:textId="77777777" w:rsidTr="008A1C74">
        <w:trPr>
          <w:trHeight w:val="397"/>
          <w:jc w:val="center"/>
        </w:trPr>
        <w:tc>
          <w:tcPr>
            <w:tcW w:w="15309" w:type="dxa"/>
            <w:gridSpan w:val="4"/>
            <w:vAlign w:val="center"/>
          </w:tcPr>
          <w:p w14:paraId="5387B46D" w14:textId="77777777" w:rsidR="00473295" w:rsidRDefault="00473295" w:rsidP="000F4CDF">
            <w:pPr>
              <w:spacing w:after="120"/>
              <w:rPr>
                <w:b/>
                <w:sz w:val="28"/>
                <w:szCs w:val="28"/>
              </w:rPr>
            </w:pPr>
            <w:r w:rsidRPr="00004082">
              <w:rPr>
                <w:b/>
                <w:sz w:val="28"/>
                <w:szCs w:val="28"/>
              </w:rPr>
              <w:t>TELLING OUR STORY:</w:t>
            </w:r>
          </w:p>
          <w:p w14:paraId="6D5A9AD8" w14:textId="51DAB57C" w:rsidR="00CA31EB" w:rsidRPr="001453C3" w:rsidRDefault="00CA31EB" w:rsidP="000F4CDF">
            <w:pPr>
              <w:spacing w:after="120"/>
              <w:rPr>
                <w:sz w:val="24"/>
                <w:szCs w:val="24"/>
              </w:rPr>
            </w:pPr>
            <w:r w:rsidRPr="001453C3">
              <w:rPr>
                <w:sz w:val="24"/>
                <w:szCs w:val="24"/>
              </w:rPr>
              <w:t>Although performance based on this indicator decreased between 2017/18 and 2018/19, this is the first decrease in this indicator since the LGBF began in 2010/11</w:t>
            </w:r>
            <w:r w:rsidR="00F73E0A" w:rsidRPr="001453C3">
              <w:rPr>
                <w:sz w:val="24"/>
                <w:szCs w:val="24"/>
              </w:rPr>
              <w:t xml:space="preserve"> and rankings remain unchanged</w:t>
            </w:r>
            <w:r w:rsidRPr="001453C3">
              <w:rPr>
                <w:sz w:val="24"/>
                <w:szCs w:val="24"/>
              </w:rPr>
              <w:t xml:space="preserve">. </w:t>
            </w:r>
          </w:p>
          <w:p w14:paraId="0C98183A" w14:textId="32EC49CC" w:rsidR="00CA31EB" w:rsidRPr="001453C3" w:rsidRDefault="00CA31EB" w:rsidP="000F4CDF">
            <w:pPr>
              <w:spacing w:after="120"/>
              <w:rPr>
                <w:sz w:val="24"/>
                <w:szCs w:val="24"/>
              </w:rPr>
            </w:pPr>
            <w:r w:rsidRPr="001453C3">
              <w:rPr>
                <w:sz w:val="24"/>
                <w:szCs w:val="24"/>
              </w:rPr>
              <w:t>Across the nine years for which we have data, Argyll and Bute has consistently performed above Scottish averages.</w:t>
            </w:r>
          </w:p>
          <w:p w14:paraId="1821A9FE" w14:textId="77777777" w:rsidR="00473295" w:rsidRPr="00CE646C" w:rsidRDefault="00473295" w:rsidP="008A1C74">
            <w:pPr>
              <w:rPr>
                <w:rFonts w:ascii="Arial" w:hAnsi="Arial" w:cs="Arial"/>
                <w:szCs w:val="28"/>
              </w:rPr>
            </w:pPr>
          </w:p>
        </w:tc>
      </w:tr>
      <w:tr w:rsidR="00473295" w:rsidRPr="00004082" w14:paraId="23173E67" w14:textId="77777777" w:rsidTr="008A1C74">
        <w:trPr>
          <w:trHeight w:val="397"/>
          <w:jc w:val="center"/>
        </w:trPr>
        <w:tc>
          <w:tcPr>
            <w:tcW w:w="15309" w:type="dxa"/>
            <w:gridSpan w:val="4"/>
            <w:vAlign w:val="center"/>
          </w:tcPr>
          <w:p w14:paraId="6B6580E6" w14:textId="77777777" w:rsidR="00473295" w:rsidRPr="00CE646C" w:rsidRDefault="00473295" w:rsidP="008A1C74">
            <w:pPr>
              <w:rPr>
                <w:sz w:val="6"/>
                <w:szCs w:val="6"/>
              </w:rPr>
            </w:pPr>
          </w:p>
          <w:p w14:paraId="300EE9D2" w14:textId="77777777" w:rsidR="00473295" w:rsidRPr="00004082" w:rsidRDefault="00473295" w:rsidP="008A1C74">
            <w:pPr>
              <w:rPr>
                <w:b/>
                <w:sz w:val="28"/>
                <w:szCs w:val="28"/>
              </w:rPr>
            </w:pPr>
            <w:r>
              <w:rPr>
                <w:b/>
                <w:sz w:val="28"/>
                <w:szCs w:val="28"/>
              </w:rPr>
              <w:t>LOOKING FORWARD - EXPECTED IMPACT ON INDICATOR</w:t>
            </w:r>
            <w:r w:rsidRPr="00004082">
              <w:rPr>
                <w:b/>
                <w:sz w:val="28"/>
                <w:szCs w:val="28"/>
              </w:rPr>
              <w:t>:</w:t>
            </w:r>
          </w:p>
          <w:p w14:paraId="54D55495" w14:textId="77777777" w:rsidR="00304D5D" w:rsidRDefault="00304D5D" w:rsidP="00304D5D">
            <w:pPr>
              <w:rPr>
                <w:rFonts w:cstheme="minorHAnsi"/>
                <w:sz w:val="24"/>
                <w:szCs w:val="24"/>
              </w:rPr>
            </w:pPr>
          </w:p>
          <w:p w14:paraId="45A7E3A7" w14:textId="26E92210" w:rsidR="00304D5D" w:rsidRPr="00E828B4" w:rsidRDefault="00304D5D" w:rsidP="00304D5D">
            <w:pPr>
              <w:rPr>
                <w:rFonts w:cstheme="minorHAnsi"/>
                <w:sz w:val="24"/>
                <w:szCs w:val="24"/>
              </w:rPr>
            </w:pPr>
            <w:r w:rsidRPr="00E828B4">
              <w:rPr>
                <w:rFonts w:cstheme="minorHAnsi"/>
                <w:sz w:val="24"/>
                <w:szCs w:val="24"/>
              </w:rPr>
              <w:t xml:space="preserve">The </w:t>
            </w:r>
            <w:r>
              <w:rPr>
                <w:rFonts w:cstheme="minorHAnsi"/>
                <w:sz w:val="24"/>
                <w:szCs w:val="24"/>
              </w:rPr>
              <w:t>condition</w:t>
            </w:r>
            <w:r w:rsidRPr="00E828B4">
              <w:rPr>
                <w:rFonts w:cstheme="minorHAnsi"/>
                <w:sz w:val="24"/>
                <w:szCs w:val="24"/>
              </w:rPr>
              <w:t xml:space="preserve"> of </w:t>
            </w:r>
            <w:r>
              <w:rPr>
                <w:rFonts w:cstheme="minorHAnsi"/>
                <w:sz w:val="24"/>
                <w:szCs w:val="24"/>
              </w:rPr>
              <w:t>buildings is dependent on asset investment. The forecast of d</w:t>
            </w:r>
            <w:r w:rsidRPr="00E828B4">
              <w:rPr>
                <w:sz w:val="24"/>
                <w:szCs w:val="24"/>
              </w:rPr>
              <w:t>iminishing Central Repairs budgets resulting in limited planned maintenance with the associated increased risk of building element failures.</w:t>
            </w:r>
            <w:r>
              <w:rPr>
                <w:rFonts w:cstheme="minorHAnsi"/>
                <w:sz w:val="24"/>
                <w:szCs w:val="24"/>
              </w:rPr>
              <w:t xml:space="preserve">  </w:t>
            </w:r>
            <w:r w:rsidRPr="00E828B4">
              <w:rPr>
                <w:sz w:val="24"/>
                <w:szCs w:val="24"/>
              </w:rPr>
              <w:t>Addressing property related risks within the context of reduced capital budgets</w:t>
            </w:r>
            <w:r>
              <w:rPr>
                <w:sz w:val="24"/>
                <w:szCs w:val="24"/>
              </w:rPr>
              <w:t xml:space="preserve"> is also a challenge</w:t>
            </w:r>
            <w:r w:rsidRPr="00E828B4">
              <w:rPr>
                <w:sz w:val="24"/>
                <w:szCs w:val="24"/>
              </w:rPr>
              <w:t>.</w:t>
            </w:r>
            <w:r>
              <w:rPr>
                <w:sz w:val="24"/>
                <w:szCs w:val="24"/>
              </w:rPr>
              <w:t xml:space="preserve"> </w:t>
            </w:r>
            <w:r w:rsidRPr="00E828B4">
              <w:rPr>
                <w:sz w:val="24"/>
                <w:szCs w:val="24"/>
              </w:rPr>
              <w:t>Prioritising projects for inclusion within the capital plan in light of changing statutory, regulatory and political requirements.</w:t>
            </w:r>
            <w:r>
              <w:rPr>
                <w:rFonts w:cstheme="minorHAnsi"/>
                <w:sz w:val="24"/>
                <w:szCs w:val="24"/>
              </w:rPr>
              <w:t xml:space="preserve"> </w:t>
            </w:r>
            <w:r w:rsidRPr="00E828B4">
              <w:rPr>
                <w:sz w:val="24"/>
                <w:szCs w:val="24"/>
              </w:rPr>
              <w:t xml:space="preserve">The delivery of capital projects within schools during the summer vacation, especially given the impact of </w:t>
            </w:r>
            <w:r w:rsidR="00A95B6B">
              <w:rPr>
                <w:sz w:val="24"/>
                <w:szCs w:val="24"/>
              </w:rPr>
              <w:t>COVID</w:t>
            </w:r>
            <w:r w:rsidRPr="00E828B4">
              <w:rPr>
                <w:sz w:val="24"/>
                <w:szCs w:val="24"/>
              </w:rPr>
              <w:t>-19.</w:t>
            </w:r>
            <w:r>
              <w:rPr>
                <w:rFonts w:cstheme="minorHAnsi"/>
                <w:sz w:val="24"/>
                <w:szCs w:val="24"/>
              </w:rPr>
              <w:t xml:space="preserve">  </w:t>
            </w:r>
            <w:r w:rsidRPr="00E828B4">
              <w:rPr>
                <w:sz w:val="24"/>
                <w:szCs w:val="24"/>
              </w:rPr>
              <w:t>Managing the impacts and forecasts of climate change for the Council and also positively contributing to our obligations to reducing carbon emissions and increasing resource efficiency</w:t>
            </w:r>
            <w:r>
              <w:rPr>
                <w:sz w:val="24"/>
                <w:szCs w:val="24"/>
              </w:rPr>
              <w:t>.</w:t>
            </w:r>
          </w:p>
          <w:p w14:paraId="472CF747" w14:textId="77777777" w:rsidR="00473295" w:rsidRPr="00CE646C" w:rsidRDefault="00473295" w:rsidP="008A1C74">
            <w:pPr>
              <w:rPr>
                <w:rFonts w:ascii="Arial" w:hAnsi="Arial" w:cs="Arial"/>
              </w:rPr>
            </w:pPr>
          </w:p>
        </w:tc>
      </w:tr>
    </w:tbl>
    <w:p w14:paraId="107B4C39" w14:textId="705254F9" w:rsidR="009462B0" w:rsidRDefault="009462B0"/>
    <w:p w14:paraId="2192D689" w14:textId="77777777" w:rsidR="009462B0" w:rsidRDefault="009462B0">
      <w:r>
        <w:br w:type="page"/>
      </w:r>
    </w:p>
    <w:p w14:paraId="11832C97" w14:textId="77777777" w:rsidR="00473295" w:rsidRDefault="00473295"/>
    <w:p w14:paraId="77601C34" w14:textId="227CECF1" w:rsidR="00BF4C1B" w:rsidRPr="002D0E83" w:rsidRDefault="00473295" w:rsidP="009A329B">
      <w:pPr>
        <w:pStyle w:val="Heading2"/>
        <w:spacing w:before="0" w:line="240" w:lineRule="auto"/>
        <w:jc w:val="center"/>
        <w:rPr>
          <w:b/>
          <w:color w:val="auto"/>
          <w:sz w:val="52"/>
          <w:szCs w:val="52"/>
        </w:rPr>
      </w:pPr>
      <w:bookmarkStart w:id="24" w:name="_Toc56757702"/>
      <w:r>
        <w:rPr>
          <w:b/>
          <w:color w:val="auto"/>
          <w:sz w:val="52"/>
          <w:szCs w:val="52"/>
        </w:rPr>
        <w:t>CUSTOMER SUPPORT SERVICES</w:t>
      </w:r>
      <w:bookmarkEnd w:id="24"/>
    </w:p>
    <w:p w14:paraId="3D26F18C" w14:textId="77777777" w:rsidR="00BF4C1B" w:rsidRPr="00BF4C1B" w:rsidRDefault="00BF4C1B" w:rsidP="009A329B">
      <w:pPr>
        <w:spacing w:after="0" w:line="240" w:lineRule="auto"/>
        <w:ind w:left="720"/>
        <w:contextualSpacing/>
        <w:rPr>
          <w:b/>
          <w:sz w:val="28"/>
          <w:szCs w:val="28"/>
        </w:rPr>
      </w:pPr>
    </w:p>
    <w:tbl>
      <w:tblPr>
        <w:tblW w:w="15309" w:type="dxa"/>
        <w:jc w:val="center"/>
        <w:tblLook w:val="04A0" w:firstRow="1" w:lastRow="0" w:firstColumn="1" w:lastColumn="0" w:noHBand="0" w:noVBand="1"/>
      </w:tblPr>
      <w:tblGrid>
        <w:gridCol w:w="5524"/>
        <w:gridCol w:w="1842"/>
        <w:gridCol w:w="6237"/>
        <w:gridCol w:w="1706"/>
      </w:tblGrid>
      <w:tr w:rsidR="006452B6" w:rsidRPr="005D65E6" w14:paraId="10698AAF" w14:textId="77777777" w:rsidTr="006452B6">
        <w:trPr>
          <w:trHeight w:val="79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1A0D6F0A" w14:textId="3025E294" w:rsidR="006452B6" w:rsidRPr="005D65E6" w:rsidRDefault="00473295" w:rsidP="00473295">
            <w:pPr>
              <w:rPr>
                <w:b/>
                <w:sz w:val="32"/>
              </w:rPr>
            </w:pPr>
            <w:r>
              <w:rPr>
                <w:b/>
                <w:sz w:val="32"/>
              </w:rPr>
              <w:t>SERVICE: CUSTOMER SUPPORT SERVICES</w:t>
            </w:r>
          </w:p>
        </w:tc>
      </w:tr>
      <w:tr w:rsidR="00BF4C1B" w:rsidRPr="008E3A46" w14:paraId="025CC031" w14:textId="77777777" w:rsidTr="004B0D92">
        <w:trPr>
          <w:trHeight w:val="567"/>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3BFA09F5" w14:textId="77777777" w:rsidR="00BF4C1B" w:rsidRPr="008E3A46" w:rsidRDefault="00BF4C1B" w:rsidP="009A329B">
            <w:pPr>
              <w:pStyle w:val="Heading1"/>
              <w:spacing w:before="0" w:line="240" w:lineRule="auto"/>
              <w:rPr>
                <w:b/>
                <w:color w:val="auto"/>
              </w:rPr>
            </w:pPr>
            <w:bookmarkStart w:id="25" w:name="_Toc56757703"/>
            <w:r w:rsidRPr="008E3A46">
              <w:rPr>
                <w:b/>
                <w:color w:val="auto"/>
              </w:rPr>
              <w:t xml:space="preserve">INDICATOR REF: CORP 3b - The </w:t>
            </w:r>
            <w:r w:rsidR="0011275A" w:rsidRPr="008E3A46">
              <w:rPr>
                <w:b/>
                <w:color w:val="auto"/>
              </w:rPr>
              <w:t>percentage</w:t>
            </w:r>
            <w:r w:rsidRPr="008E3A46">
              <w:rPr>
                <w:b/>
                <w:color w:val="auto"/>
              </w:rPr>
              <w:t xml:space="preserve"> of the highest paid 5% of employees who are women</w:t>
            </w:r>
            <w:bookmarkEnd w:id="25"/>
            <w:r w:rsidR="00E10B0A" w:rsidRPr="008E3A46">
              <w:rPr>
                <w:b/>
                <w:color w:val="auto"/>
              </w:rPr>
              <w:tab/>
            </w:r>
          </w:p>
        </w:tc>
      </w:tr>
      <w:tr w:rsidR="008F2E9A" w:rsidRPr="00BF4C1B" w14:paraId="01436113" w14:textId="77777777" w:rsidTr="004B0D92">
        <w:trPr>
          <w:trHeight w:val="45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3B45D684" w14:textId="5515A1D5" w:rsidR="008F2E9A" w:rsidRPr="00525319" w:rsidRDefault="008F2E9A" w:rsidP="007D1A9D">
            <w:pPr>
              <w:spacing w:after="0" w:line="240" w:lineRule="auto"/>
              <w:jc w:val="center"/>
              <w:rPr>
                <w:b/>
                <w:color w:val="0070C0"/>
                <w:sz w:val="28"/>
                <w:szCs w:val="28"/>
              </w:rPr>
            </w:pPr>
            <w:r w:rsidRPr="00C577BD">
              <w:rPr>
                <w:b/>
                <w:color w:val="0070C0"/>
                <w:sz w:val="28"/>
                <w:szCs w:val="28"/>
              </w:rPr>
              <w:t>Performance Range:</w:t>
            </w:r>
            <w:r w:rsidR="00525319" w:rsidRPr="004C7782">
              <w:rPr>
                <w:b/>
                <w:color w:val="0070C0"/>
                <w:sz w:val="28"/>
                <w:szCs w:val="28"/>
              </w:rPr>
              <w:t xml:space="preserve"> </w:t>
            </w:r>
            <w:r w:rsidR="009462B0">
              <w:rPr>
                <w:b/>
                <w:color w:val="0070C0"/>
                <w:sz w:val="28"/>
                <w:szCs w:val="28"/>
              </w:rPr>
              <w:t>24.22</w:t>
            </w:r>
            <w:r w:rsidR="00525319">
              <w:rPr>
                <w:b/>
                <w:color w:val="0070C0"/>
                <w:sz w:val="28"/>
                <w:szCs w:val="28"/>
              </w:rPr>
              <w:t xml:space="preserve">% to </w:t>
            </w:r>
            <w:r w:rsidR="009462B0">
              <w:rPr>
                <w:b/>
                <w:color w:val="0070C0"/>
                <w:sz w:val="28"/>
                <w:szCs w:val="28"/>
              </w:rPr>
              <w:t>67.59</w:t>
            </w:r>
            <w:r w:rsidR="00525319">
              <w:rPr>
                <w:b/>
                <w:color w:val="0070C0"/>
                <w:sz w:val="28"/>
                <w:szCs w:val="28"/>
              </w:rPr>
              <w:t>%</w:t>
            </w:r>
            <w:r w:rsidR="005E2139">
              <w:rPr>
                <w:b/>
                <w:color w:val="0070C0"/>
                <w:sz w:val="28"/>
                <w:szCs w:val="28"/>
              </w:rPr>
              <w:t xml:space="preserve">  </w:t>
            </w:r>
            <w:r w:rsidR="005E2139" w:rsidRPr="005E2139">
              <w:rPr>
                <w:b/>
                <w:color w:val="0070C0"/>
                <w:sz w:val="28"/>
                <w:szCs w:val="28"/>
              </w:rPr>
              <w:t>(Highest is best)</w:t>
            </w:r>
          </w:p>
        </w:tc>
      </w:tr>
      <w:tr w:rsidR="00BF4C1B" w:rsidRPr="00BF4C1B" w14:paraId="6E280DF2" w14:textId="77777777" w:rsidTr="00E83409">
        <w:trPr>
          <w:trHeight w:val="397"/>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0EFB53A" w14:textId="77777777" w:rsidR="00BF4C1B" w:rsidRPr="00BF4C1B" w:rsidRDefault="00BF4C1B" w:rsidP="009A329B">
            <w:pPr>
              <w:spacing w:after="0" w:line="240" w:lineRule="auto"/>
              <w:jc w:val="center"/>
              <w:rPr>
                <w:b/>
                <w:sz w:val="28"/>
                <w:szCs w:val="28"/>
              </w:rPr>
            </w:pPr>
            <w:r w:rsidRPr="00BF4C1B">
              <w:rPr>
                <w:b/>
                <w:sz w:val="28"/>
                <w:szCs w:val="28"/>
              </w:rPr>
              <w:t>ARGYLL AND BUTE</w:t>
            </w:r>
          </w:p>
        </w:tc>
        <w:tc>
          <w:tcPr>
            <w:tcW w:w="7943"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70822B3" w14:textId="77777777" w:rsidR="00BF4C1B" w:rsidRPr="00BF4C1B" w:rsidRDefault="00BF4C1B" w:rsidP="009A329B">
            <w:pPr>
              <w:spacing w:after="0" w:line="240" w:lineRule="auto"/>
              <w:jc w:val="center"/>
              <w:rPr>
                <w:b/>
                <w:sz w:val="28"/>
                <w:szCs w:val="28"/>
              </w:rPr>
            </w:pPr>
            <w:r w:rsidRPr="00BF4C1B">
              <w:rPr>
                <w:b/>
                <w:sz w:val="28"/>
                <w:szCs w:val="28"/>
              </w:rPr>
              <w:t>SCOTLAND</w:t>
            </w:r>
          </w:p>
        </w:tc>
      </w:tr>
      <w:tr w:rsidR="00BF4C1B" w:rsidRPr="00BF4C1B" w14:paraId="13DAF3E6" w14:textId="77777777" w:rsidTr="004B0D92">
        <w:trPr>
          <w:trHeight w:val="397"/>
          <w:jc w:val="center"/>
        </w:trPr>
        <w:tc>
          <w:tcPr>
            <w:tcW w:w="7366" w:type="dxa"/>
            <w:gridSpan w:val="2"/>
            <w:tcBorders>
              <w:top w:val="single" w:sz="4" w:space="0" w:color="auto"/>
              <w:left w:val="single" w:sz="4" w:space="0" w:color="auto"/>
              <w:bottom w:val="single" w:sz="4" w:space="0" w:color="auto"/>
              <w:right w:val="single" w:sz="4" w:space="0" w:color="auto"/>
            </w:tcBorders>
            <w:vAlign w:val="center"/>
          </w:tcPr>
          <w:p w14:paraId="11ABE811" w14:textId="39EE3FF9" w:rsidR="00BF4C1B" w:rsidRPr="0068094B" w:rsidRDefault="009462B0" w:rsidP="009A329B">
            <w:pPr>
              <w:spacing w:after="0" w:line="240" w:lineRule="auto"/>
              <w:jc w:val="center"/>
              <w:rPr>
                <w:b/>
                <w:sz w:val="28"/>
                <w:szCs w:val="28"/>
              </w:rPr>
            </w:pPr>
            <w:r>
              <w:rPr>
                <w:b/>
                <w:sz w:val="28"/>
                <w:szCs w:val="28"/>
              </w:rPr>
              <w:t>52.06</w:t>
            </w:r>
            <w:r w:rsidR="007D1A9D">
              <w:rPr>
                <w:b/>
                <w:sz w:val="28"/>
                <w:szCs w:val="28"/>
              </w:rPr>
              <w:t>%</w:t>
            </w:r>
          </w:p>
        </w:tc>
        <w:tc>
          <w:tcPr>
            <w:tcW w:w="7943" w:type="dxa"/>
            <w:gridSpan w:val="2"/>
            <w:tcBorders>
              <w:top w:val="single" w:sz="4" w:space="0" w:color="auto"/>
              <w:left w:val="single" w:sz="4" w:space="0" w:color="auto"/>
              <w:bottom w:val="single" w:sz="4" w:space="0" w:color="auto"/>
              <w:right w:val="single" w:sz="4" w:space="0" w:color="auto"/>
            </w:tcBorders>
            <w:vAlign w:val="center"/>
          </w:tcPr>
          <w:p w14:paraId="0AF27E10" w14:textId="35A48BBB" w:rsidR="00BF4C1B" w:rsidRPr="00BF4C1B" w:rsidRDefault="009462B0" w:rsidP="009A329B">
            <w:pPr>
              <w:spacing w:after="0" w:line="240" w:lineRule="auto"/>
              <w:jc w:val="center"/>
              <w:rPr>
                <w:b/>
                <w:sz w:val="28"/>
                <w:szCs w:val="28"/>
              </w:rPr>
            </w:pPr>
            <w:r>
              <w:rPr>
                <w:b/>
                <w:sz w:val="28"/>
                <w:szCs w:val="28"/>
              </w:rPr>
              <w:t>55.79</w:t>
            </w:r>
            <w:r w:rsidR="007D1A9D">
              <w:rPr>
                <w:b/>
                <w:sz w:val="28"/>
                <w:szCs w:val="28"/>
              </w:rPr>
              <w:t>%</w:t>
            </w:r>
          </w:p>
        </w:tc>
      </w:tr>
      <w:tr w:rsidR="002A7D10" w:rsidRPr="00BF4C1B" w14:paraId="4F1CE3C8" w14:textId="77777777" w:rsidTr="004B0D92">
        <w:trPr>
          <w:trHeight w:val="397"/>
          <w:jc w:val="center"/>
        </w:trPr>
        <w:tc>
          <w:tcPr>
            <w:tcW w:w="5524" w:type="dxa"/>
            <w:tcBorders>
              <w:top w:val="single" w:sz="4" w:space="0" w:color="auto"/>
              <w:left w:val="single" w:sz="4" w:space="0" w:color="auto"/>
              <w:bottom w:val="single" w:sz="4" w:space="0" w:color="auto"/>
              <w:right w:val="single" w:sz="4" w:space="0" w:color="auto"/>
            </w:tcBorders>
            <w:vAlign w:val="center"/>
          </w:tcPr>
          <w:p w14:paraId="51CB67FD" w14:textId="06D12CA0" w:rsidR="002A7D10" w:rsidRPr="0068094B" w:rsidRDefault="002A7D10" w:rsidP="007D1A9D">
            <w:pPr>
              <w:spacing w:after="0" w:line="240" w:lineRule="auto"/>
              <w:jc w:val="center"/>
              <w:rPr>
                <w:b/>
                <w:sz w:val="28"/>
                <w:szCs w:val="28"/>
              </w:rPr>
            </w:pPr>
            <w:r w:rsidRPr="0068094B">
              <w:rPr>
                <w:b/>
                <w:sz w:val="28"/>
                <w:szCs w:val="28"/>
              </w:rPr>
              <w:t>CHANGE 201</w:t>
            </w:r>
            <w:r w:rsidR="007D1A9D">
              <w:rPr>
                <w:b/>
                <w:sz w:val="28"/>
                <w:szCs w:val="28"/>
              </w:rPr>
              <w:t>7</w:t>
            </w:r>
            <w:r w:rsidRPr="0068094B">
              <w:rPr>
                <w:b/>
                <w:sz w:val="28"/>
                <w:szCs w:val="28"/>
              </w:rPr>
              <w:t>/1</w:t>
            </w:r>
            <w:r w:rsidR="007D1A9D">
              <w:rPr>
                <w:b/>
                <w:sz w:val="28"/>
                <w:szCs w:val="28"/>
              </w:rPr>
              <w:t>8</w:t>
            </w:r>
            <w:r w:rsidRPr="0068094B">
              <w:rPr>
                <w:b/>
                <w:sz w:val="28"/>
                <w:szCs w:val="28"/>
              </w:rPr>
              <w:t xml:space="preserve"> TO 201</w:t>
            </w:r>
            <w:r w:rsidR="007D1A9D">
              <w:rPr>
                <w:b/>
                <w:sz w:val="28"/>
                <w:szCs w:val="28"/>
              </w:rPr>
              <w:t>8</w:t>
            </w:r>
            <w:r w:rsidRPr="0068094B">
              <w:rPr>
                <w:b/>
                <w:sz w:val="28"/>
                <w:szCs w:val="28"/>
              </w:rPr>
              <w:t>/1</w:t>
            </w:r>
            <w:r w:rsidR="007D1A9D">
              <w:rPr>
                <w:b/>
                <w:sz w:val="28"/>
                <w:szCs w:val="28"/>
              </w:rPr>
              <w:t>9</w:t>
            </w:r>
          </w:p>
        </w:tc>
        <w:tc>
          <w:tcPr>
            <w:tcW w:w="1842" w:type="dxa"/>
            <w:tcBorders>
              <w:top w:val="single" w:sz="4" w:space="0" w:color="auto"/>
              <w:left w:val="single" w:sz="4" w:space="0" w:color="auto"/>
              <w:bottom w:val="single" w:sz="4" w:space="0" w:color="auto"/>
              <w:right w:val="single" w:sz="4" w:space="0" w:color="auto"/>
            </w:tcBorders>
            <w:vAlign w:val="center"/>
          </w:tcPr>
          <w:p w14:paraId="03613FE9" w14:textId="1067A9D3" w:rsidR="002A7D10" w:rsidRPr="0068094B" w:rsidRDefault="009462B0" w:rsidP="009A329B">
            <w:pPr>
              <w:spacing w:after="0" w:line="240" w:lineRule="auto"/>
              <w:jc w:val="center"/>
              <w:rPr>
                <w:b/>
                <w:sz w:val="28"/>
                <w:szCs w:val="28"/>
              </w:rPr>
            </w:pPr>
            <w:r>
              <w:rPr>
                <w:b/>
                <w:sz w:val="28"/>
                <w:szCs w:val="28"/>
              </w:rPr>
              <w:t>-1</w:t>
            </w:r>
            <w:r w:rsidR="00E36DE8">
              <w:rPr>
                <w:b/>
                <w:sz w:val="28"/>
                <w:szCs w:val="28"/>
              </w:rPr>
              <w:t xml:space="preserve"> </w:t>
            </w:r>
            <w:r w:rsidR="00E36DE8" w:rsidRPr="00C14931">
              <w:rPr>
                <w:b/>
                <w:color w:val="FF0000"/>
                <w:sz w:val="28"/>
                <w:szCs w:val="28"/>
              </w:rPr>
              <w:sym w:font="Wingdings" w:char="F0EA"/>
            </w:r>
          </w:p>
        </w:tc>
        <w:tc>
          <w:tcPr>
            <w:tcW w:w="6237" w:type="dxa"/>
            <w:tcBorders>
              <w:top w:val="single" w:sz="4" w:space="0" w:color="auto"/>
              <w:left w:val="single" w:sz="4" w:space="0" w:color="auto"/>
              <w:bottom w:val="single" w:sz="4" w:space="0" w:color="auto"/>
              <w:right w:val="single" w:sz="4" w:space="0" w:color="auto"/>
            </w:tcBorders>
            <w:vAlign w:val="center"/>
          </w:tcPr>
          <w:p w14:paraId="44DD8FCE" w14:textId="40A14B43" w:rsidR="002A7D10" w:rsidRPr="00BF4C1B" w:rsidRDefault="002A7D10" w:rsidP="007D1A9D">
            <w:pPr>
              <w:spacing w:after="0" w:line="240" w:lineRule="auto"/>
              <w:jc w:val="center"/>
              <w:rPr>
                <w:sz w:val="28"/>
                <w:szCs w:val="28"/>
              </w:rPr>
            </w:pPr>
            <w:r>
              <w:rPr>
                <w:sz w:val="28"/>
                <w:szCs w:val="28"/>
              </w:rPr>
              <w:t>CHANGE 201</w:t>
            </w:r>
            <w:r w:rsidR="007D1A9D">
              <w:rPr>
                <w:sz w:val="28"/>
                <w:szCs w:val="28"/>
              </w:rPr>
              <w:t>7</w:t>
            </w:r>
            <w:r>
              <w:rPr>
                <w:sz w:val="28"/>
                <w:szCs w:val="28"/>
              </w:rPr>
              <w:t>/1</w:t>
            </w:r>
            <w:r w:rsidR="007D1A9D">
              <w:rPr>
                <w:sz w:val="28"/>
                <w:szCs w:val="28"/>
              </w:rPr>
              <w:t>8</w:t>
            </w:r>
            <w:r>
              <w:rPr>
                <w:sz w:val="28"/>
                <w:szCs w:val="28"/>
              </w:rPr>
              <w:t xml:space="preserve"> TO 201</w:t>
            </w:r>
            <w:r w:rsidR="007D1A9D">
              <w:rPr>
                <w:sz w:val="28"/>
                <w:szCs w:val="28"/>
              </w:rPr>
              <w:t>8</w:t>
            </w:r>
            <w:r>
              <w:rPr>
                <w:sz w:val="28"/>
                <w:szCs w:val="28"/>
              </w:rPr>
              <w:t>/1</w:t>
            </w:r>
            <w:r w:rsidR="007D1A9D">
              <w:rPr>
                <w:sz w:val="28"/>
                <w:szCs w:val="28"/>
              </w:rPr>
              <w:t>9</w:t>
            </w:r>
          </w:p>
        </w:tc>
        <w:tc>
          <w:tcPr>
            <w:tcW w:w="1706" w:type="dxa"/>
            <w:tcBorders>
              <w:top w:val="single" w:sz="4" w:space="0" w:color="auto"/>
              <w:left w:val="single" w:sz="4" w:space="0" w:color="auto"/>
              <w:bottom w:val="single" w:sz="4" w:space="0" w:color="auto"/>
              <w:right w:val="single" w:sz="4" w:space="0" w:color="auto"/>
            </w:tcBorders>
            <w:vAlign w:val="center"/>
          </w:tcPr>
          <w:p w14:paraId="02E2BA97" w14:textId="2C373437" w:rsidR="002A7D10" w:rsidRDefault="00E36DE8" w:rsidP="009A329B">
            <w:pPr>
              <w:spacing w:after="0" w:line="240" w:lineRule="auto"/>
              <w:jc w:val="center"/>
              <w:rPr>
                <w:b/>
                <w:sz w:val="28"/>
                <w:szCs w:val="28"/>
              </w:rPr>
            </w:pPr>
            <w:r>
              <w:rPr>
                <w:sz w:val="28"/>
                <w:szCs w:val="28"/>
              </w:rPr>
              <w:t xml:space="preserve">1.16 </w:t>
            </w:r>
            <w:r w:rsidRPr="00EC5E64">
              <w:rPr>
                <w:b/>
                <w:color w:val="00B050"/>
                <w:sz w:val="28"/>
                <w:szCs w:val="28"/>
              </w:rPr>
              <w:sym w:font="Wingdings" w:char="F0E9"/>
            </w:r>
          </w:p>
        </w:tc>
      </w:tr>
      <w:tr w:rsidR="002A7D10" w:rsidRPr="00BF4C1B" w14:paraId="4DF8E920" w14:textId="77777777" w:rsidTr="004B0D92">
        <w:trPr>
          <w:trHeight w:val="397"/>
          <w:jc w:val="center"/>
        </w:trPr>
        <w:tc>
          <w:tcPr>
            <w:tcW w:w="5524" w:type="dxa"/>
            <w:tcBorders>
              <w:top w:val="single" w:sz="4" w:space="0" w:color="auto"/>
              <w:left w:val="single" w:sz="4" w:space="0" w:color="auto"/>
              <w:bottom w:val="single" w:sz="4" w:space="0" w:color="auto"/>
              <w:right w:val="single" w:sz="4" w:space="0" w:color="auto"/>
            </w:tcBorders>
            <w:vAlign w:val="center"/>
          </w:tcPr>
          <w:p w14:paraId="225B60F4" w14:textId="21A99D17" w:rsidR="002A7D10" w:rsidRPr="0068094B" w:rsidRDefault="002A7D10" w:rsidP="007D1A9D">
            <w:pPr>
              <w:spacing w:after="0" w:line="240" w:lineRule="auto"/>
              <w:jc w:val="center"/>
              <w:rPr>
                <w:b/>
                <w:sz w:val="28"/>
                <w:szCs w:val="28"/>
              </w:rPr>
            </w:pPr>
            <w:r w:rsidRPr="0068094B">
              <w:rPr>
                <w:b/>
                <w:sz w:val="28"/>
                <w:szCs w:val="28"/>
              </w:rPr>
              <w:t>CHANGE BASE YEAR TO 201</w:t>
            </w:r>
            <w:r w:rsidR="007D1A9D">
              <w:rPr>
                <w:b/>
                <w:sz w:val="28"/>
                <w:szCs w:val="28"/>
              </w:rPr>
              <w:t>8</w:t>
            </w:r>
            <w:r w:rsidRPr="0068094B">
              <w:rPr>
                <w:b/>
                <w:sz w:val="28"/>
                <w:szCs w:val="28"/>
              </w:rPr>
              <w:t>/1</w:t>
            </w:r>
            <w:r w:rsidR="007D1A9D">
              <w:rPr>
                <w:b/>
                <w:sz w:val="28"/>
                <w:szCs w:val="28"/>
              </w:rPr>
              <w:t>9</w:t>
            </w:r>
          </w:p>
        </w:tc>
        <w:tc>
          <w:tcPr>
            <w:tcW w:w="1842" w:type="dxa"/>
            <w:tcBorders>
              <w:top w:val="single" w:sz="4" w:space="0" w:color="auto"/>
              <w:left w:val="single" w:sz="4" w:space="0" w:color="auto"/>
              <w:bottom w:val="single" w:sz="4" w:space="0" w:color="auto"/>
              <w:right w:val="single" w:sz="4" w:space="0" w:color="auto"/>
            </w:tcBorders>
            <w:vAlign w:val="center"/>
          </w:tcPr>
          <w:p w14:paraId="26A32D56" w14:textId="5DD3EE0D" w:rsidR="002A7D10" w:rsidRPr="0068094B" w:rsidRDefault="009462B0" w:rsidP="009A329B">
            <w:pPr>
              <w:spacing w:after="0" w:line="240" w:lineRule="auto"/>
              <w:jc w:val="center"/>
              <w:rPr>
                <w:b/>
                <w:sz w:val="28"/>
                <w:szCs w:val="28"/>
              </w:rPr>
            </w:pPr>
            <w:r>
              <w:rPr>
                <w:b/>
                <w:sz w:val="28"/>
                <w:szCs w:val="28"/>
              </w:rPr>
              <w:t>17.09</w:t>
            </w:r>
            <w:r w:rsidR="00E36DE8">
              <w:rPr>
                <w:b/>
                <w:sz w:val="28"/>
                <w:szCs w:val="28"/>
              </w:rPr>
              <w:t xml:space="preserve"> </w:t>
            </w:r>
            <w:r w:rsidR="00E36DE8" w:rsidRPr="00EC5E64">
              <w:rPr>
                <w:b/>
                <w:color w:val="00B050"/>
                <w:sz w:val="28"/>
                <w:szCs w:val="28"/>
              </w:rPr>
              <w:sym w:font="Wingdings" w:char="F0E9"/>
            </w:r>
          </w:p>
        </w:tc>
        <w:tc>
          <w:tcPr>
            <w:tcW w:w="6237" w:type="dxa"/>
            <w:tcBorders>
              <w:top w:val="single" w:sz="4" w:space="0" w:color="auto"/>
              <w:left w:val="single" w:sz="4" w:space="0" w:color="auto"/>
              <w:bottom w:val="single" w:sz="4" w:space="0" w:color="auto"/>
              <w:right w:val="single" w:sz="4" w:space="0" w:color="auto"/>
            </w:tcBorders>
            <w:vAlign w:val="center"/>
          </w:tcPr>
          <w:p w14:paraId="5D0EF4A9" w14:textId="1866F3BD" w:rsidR="002A7D10" w:rsidRPr="00BF4C1B" w:rsidRDefault="002A7D10" w:rsidP="007D1A9D">
            <w:pPr>
              <w:spacing w:after="0" w:line="240" w:lineRule="auto"/>
              <w:jc w:val="center"/>
              <w:rPr>
                <w:sz w:val="28"/>
                <w:szCs w:val="28"/>
              </w:rPr>
            </w:pPr>
            <w:r>
              <w:rPr>
                <w:sz w:val="28"/>
                <w:szCs w:val="28"/>
              </w:rPr>
              <w:t>CHANGE BASE YEAR TO 201</w:t>
            </w:r>
            <w:r w:rsidR="007D1A9D">
              <w:rPr>
                <w:sz w:val="28"/>
                <w:szCs w:val="28"/>
              </w:rPr>
              <w:t>8</w:t>
            </w:r>
            <w:r>
              <w:rPr>
                <w:sz w:val="28"/>
                <w:szCs w:val="28"/>
              </w:rPr>
              <w:t>/1</w:t>
            </w:r>
            <w:r w:rsidR="007D1A9D">
              <w:rPr>
                <w:sz w:val="28"/>
                <w:szCs w:val="28"/>
              </w:rPr>
              <w:t>9</w:t>
            </w:r>
          </w:p>
        </w:tc>
        <w:tc>
          <w:tcPr>
            <w:tcW w:w="1706" w:type="dxa"/>
            <w:tcBorders>
              <w:top w:val="single" w:sz="4" w:space="0" w:color="auto"/>
              <w:left w:val="single" w:sz="4" w:space="0" w:color="auto"/>
              <w:bottom w:val="single" w:sz="4" w:space="0" w:color="auto"/>
              <w:right w:val="single" w:sz="4" w:space="0" w:color="auto"/>
            </w:tcBorders>
            <w:vAlign w:val="center"/>
          </w:tcPr>
          <w:p w14:paraId="21CCEEFB" w14:textId="56634B53" w:rsidR="002A7D10" w:rsidRDefault="00E36DE8" w:rsidP="009A329B">
            <w:pPr>
              <w:spacing w:after="0" w:line="240" w:lineRule="auto"/>
              <w:jc w:val="center"/>
              <w:rPr>
                <w:b/>
                <w:sz w:val="28"/>
                <w:szCs w:val="28"/>
              </w:rPr>
            </w:pPr>
            <w:r>
              <w:rPr>
                <w:sz w:val="28"/>
                <w:szCs w:val="28"/>
              </w:rPr>
              <w:t xml:space="preserve">9.53 </w:t>
            </w:r>
            <w:r w:rsidRPr="00EC5E64">
              <w:rPr>
                <w:b/>
                <w:color w:val="00B050"/>
                <w:sz w:val="28"/>
                <w:szCs w:val="28"/>
              </w:rPr>
              <w:sym w:font="Wingdings" w:char="F0E9"/>
            </w:r>
          </w:p>
        </w:tc>
      </w:tr>
      <w:tr w:rsidR="002A7D10" w:rsidRPr="00BF4C1B" w14:paraId="4DA8422C" w14:textId="77777777" w:rsidTr="00B318EA">
        <w:trPr>
          <w:trHeight w:val="397"/>
          <w:jc w:val="center"/>
        </w:trPr>
        <w:tc>
          <w:tcPr>
            <w:tcW w:w="7366" w:type="dxa"/>
            <w:gridSpan w:val="2"/>
            <w:tcBorders>
              <w:top w:val="single" w:sz="4" w:space="0" w:color="auto"/>
              <w:left w:val="single" w:sz="4" w:space="0" w:color="auto"/>
              <w:bottom w:val="single" w:sz="4" w:space="0" w:color="auto"/>
              <w:right w:val="single" w:sz="4" w:space="0" w:color="auto"/>
            </w:tcBorders>
            <w:vAlign w:val="center"/>
          </w:tcPr>
          <w:p w14:paraId="61145793" w14:textId="73EAB8A0" w:rsidR="002A7D10" w:rsidRPr="0068094B" w:rsidRDefault="002A7D10" w:rsidP="007D1A9D">
            <w:pPr>
              <w:spacing w:after="0" w:line="240" w:lineRule="auto"/>
              <w:jc w:val="center"/>
              <w:rPr>
                <w:b/>
                <w:sz w:val="28"/>
                <w:szCs w:val="28"/>
              </w:rPr>
            </w:pPr>
            <w:r w:rsidRPr="0068094B">
              <w:rPr>
                <w:b/>
                <w:sz w:val="28"/>
                <w:szCs w:val="28"/>
              </w:rPr>
              <w:t>RANK POSITION:</w:t>
            </w:r>
            <w:r w:rsidR="00513443" w:rsidRPr="009462B0">
              <w:rPr>
                <w:b/>
                <w:sz w:val="28"/>
                <w:szCs w:val="28"/>
              </w:rPr>
              <w:t xml:space="preserve">  </w:t>
            </w:r>
            <w:r w:rsidR="009462B0">
              <w:rPr>
                <w:b/>
                <w:sz w:val="28"/>
                <w:szCs w:val="28"/>
              </w:rPr>
              <w:t>21</w:t>
            </w:r>
            <w:r w:rsidR="00513443" w:rsidRPr="009462B0">
              <w:rPr>
                <w:b/>
                <w:sz w:val="28"/>
                <w:szCs w:val="28"/>
              </w:rPr>
              <w:t xml:space="preserve">  </w:t>
            </w:r>
            <w:r w:rsidRPr="0068094B">
              <w:rPr>
                <w:b/>
                <w:sz w:val="28"/>
                <w:szCs w:val="28"/>
              </w:rPr>
              <w:t xml:space="preserve">RANK MOVEMENT: </w:t>
            </w:r>
            <w:r w:rsidR="009462B0">
              <w:rPr>
                <w:b/>
                <w:sz w:val="28"/>
                <w:szCs w:val="28"/>
              </w:rPr>
              <w:t>-4</w:t>
            </w:r>
            <w:r w:rsidR="00E36DE8">
              <w:rPr>
                <w:b/>
                <w:sz w:val="28"/>
                <w:szCs w:val="28"/>
              </w:rPr>
              <w:t xml:space="preserve"> </w:t>
            </w:r>
            <w:r w:rsidR="00E36DE8" w:rsidRPr="00C14931">
              <w:rPr>
                <w:b/>
                <w:color w:val="FF0000"/>
                <w:sz w:val="28"/>
                <w:szCs w:val="28"/>
              </w:rPr>
              <w:sym w:font="Wingdings" w:char="F0EA"/>
            </w:r>
          </w:p>
        </w:tc>
        <w:tc>
          <w:tcPr>
            <w:tcW w:w="794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64709245" w14:textId="77777777" w:rsidR="002A7D10" w:rsidRPr="00BF4C1B" w:rsidRDefault="002A7D10" w:rsidP="009A329B">
            <w:pPr>
              <w:spacing w:after="0" w:line="240" w:lineRule="auto"/>
              <w:rPr>
                <w:sz w:val="28"/>
                <w:szCs w:val="28"/>
              </w:rPr>
            </w:pPr>
          </w:p>
        </w:tc>
      </w:tr>
      <w:tr w:rsidR="008E3A46" w:rsidRPr="00BF4C1B" w14:paraId="759E05CC" w14:textId="77777777" w:rsidTr="00B318EA">
        <w:trPr>
          <w:trHeight w:val="397"/>
          <w:jc w:val="center"/>
        </w:trPr>
        <w:tc>
          <w:tcPr>
            <w:tcW w:w="7366"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4AFF7B68" w14:textId="2ECF63A7" w:rsidR="008E3A46" w:rsidRPr="0068094B" w:rsidRDefault="004B0D92" w:rsidP="007D1A9D">
            <w:pPr>
              <w:spacing w:after="0" w:line="240" w:lineRule="auto"/>
              <w:jc w:val="center"/>
              <w:rPr>
                <w:b/>
                <w:sz w:val="28"/>
                <w:szCs w:val="28"/>
              </w:rPr>
            </w:pPr>
            <w:r>
              <w:rPr>
                <w:b/>
                <w:sz w:val="28"/>
                <w:szCs w:val="28"/>
              </w:rPr>
              <w:t>FAMILY GROUP RANKING 201</w:t>
            </w:r>
            <w:r w:rsidR="007D1A9D">
              <w:rPr>
                <w:b/>
                <w:sz w:val="28"/>
                <w:szCs w:val="28"/>
              </w:rPr>
              <w:t>8</w:t>
            </w:r>
            <w:r>
              <w:rPr>
                <w:b/>
                <w:sz w:val="28"/>
                <w:szCs w:val="28"/>
              </w:rPr>
              <w:t>/1</w:t>
            </w:r>
            <w:r w:rsidR="007D1A9D">
              <w:rPr>
                <w:b/>
                <w:sz w:val="28"/>
                <w:szCs w:val="28"/>
              </w:rPr>
              <w:t>9</w:t>
            </w:r>
          </w:p>
        </w:tc>
        <w:tc>
          <w:tcPr>
            <w:tcW w:w="7943" w:type="dxa"/>
            <w:gridSpan w:val="2"/>
            <w:tcBorders>
              <w:left w:val="single" w:sz="4" w:space="0" w:color="auto"/>
              <w:right w:val="single" w:sz="4" w:space="0" w:color="auto"/>
            </w:tcBorders>
            <w:shd w:val="clear" w:color="auto" w:fill="D9D9D9" w:themeFill="background1" w:themeFillShade="D9"/>
            <w:vAlign w:val="center"/>
          </w:tcPr>
          <w:p w14:paraId="462E346D" w14:textId="77777777" w:rsidR="008E3A46" w:rsidRPr="00BF4C1B" w:rsidRDefault="008E3A46" w:rsidP="009A329B">
            <w:pPr>
              <w:spacing w:after="0" w:line="240" w:lineRule="auto"/>
              <w:rPr>
                <w:sz w:val="28"/>
                <w:szCs w:val="28"/>
              </w:rPr>
            </w:pPr>
          </w:p>
        </w:tc>
      </w:tr>
      <w:tr w:rsidR="004B0D92" w:rsidRPr="00BF4C1B" w14:paraId="0E8217E3" w14:textId="77777777" w:rsidTr="00B318EA">
        <w:trPr>
          <w:trHeight w:val="397"/>
          <w:jc w:val="center"/>
        </w:trPr>
        <w:tc>
          <w:tcPr>
            <w:tcW w:w="7366" w:type="dxa"/>
            <w:gridSpan w:val="2"/>
            <w:tcBorders>
              <w:left w:val="single" w:sz="4" w:space="0" w:color="auto"/>
              <w:bottom w:val="single" w:sz="4" w:space="0" w:color="auto"/>
              <w:right w:val="single" w:sz="4" w:space="0" w:color="auto"/>
            </w:tcBorders>
            <w:shd w:val="clear" w:color="auto" w:fill="D9E2F3" w:themeFill="accent5" w:themeFillTint="33"/>
            <w:vAlign w:val="center"/>
          </w:tcPr>
          <w:p w14:paraId="4A5158E5" w14:textId="0670F8C0" w:rsidR="004B0D92" w:rsidRDefault="004B0D92" w:rsidP="007D1A9D">
            <w:pPr>
              <w:spacing w:after="0" w:line="240" w:lineRule="auto"/>
              <w:jc w:val="center"/>
              <w:rPr>
                <w:b/>
                <w:sz w:val="28"/>
                <w:szCs w:val="28"/>
              </w:rPr>
            </w:pPr>
            <w:r>
              <w:rPr>
                <w:b/>
                <w:sz w:val="28"/>
                <w:szCs w:val="28"/>
              </w:rPr>
              <w:t>RANK POSITION:</w:t>
            </w:r>
            <w:r w:rsidR="00FD1CF1">
              <w:rPr>
                <w:b/>
                <w:sz w:val="28"/>
                <w:szCs w:val="28"/>
              </w:rPr>
              <w:t xml:space="preserve">  </w:t>
            </w:r>
            <w:r w:rsidR="009462B0">
              <w:rPr>
                <w:b/>
                <w:sz w:val="28"/>
                <w:szCs w:val="28"/>
              </w:rPr>
              <w:t>4</w:t>
            </w:r>
            <w:r w:rsidR="00FD1CF1">
              <w:rPr>
                <w:b/>
                <w:sz w:val="28"/>
                <w:szCs w:val="28"/>
              </w:rPr>
              <w:t xml:space="preserve">  </w:t>
            </w:r>
            <w:r>
              <w:rPr>
                <w:b/>
                <w:sz w:val="28"/>
                <w:szCs w:val="28"/>
              </w:rPr>
              <w:t xml:space="preserve">RANK MOVEMENT: </w:t>
            </w:r>
            <w:r w:rsidR="009462B0">
              <w:rPr>
                <w:b/>
                <w:sz w:val="28"/>
                <w:szCs w:val="28"/>
              </w:rPr>
              <w:t>-1</w:t>
            </w:r>
            <w:r w:rsidR="00E36DE8">
              <w:rPr>
                <w:b/>
                <w:sz w:val="28"/>
                <w:szCs w:val="28"/>
              </w:rPr>
              <w:t xml:space="preserve"> </w:t>
            </w:r>
            <w:r w:rsidR="00E36DE8" w:rsidRPr="00C14931">
              <w:rPr>
                <w:b/>
                <w:color w:val="FF0000"/>
                <w:sz w:val="28"/>
                <w:szCs w:val="28"/>
              </w:rPr>
              <w:sym w:font="Wingdings" w:char="F0EA"/>
            </w:r>
          </w:p>
        </w:tc>
        <w:tc>
          <w:tcPr>
            <w:tcW w:w="7943"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2DCC37B6" w14:textId="77777777" w:rsidR="004B0D92" w:rsidRPr="00BF4C1B" w:rsidRDefault="004B0D92" w:rsidP="009A329B">
            <w:pPr>
              <w:spacing w:after="0" w:line="240" w:lineRule="auto"/>
              <w:rPr>
                <w:sz w:val="28"/>
                <w:szCs w:val="28"/>
              </w:rPr>
            </w:pPr>
          </w:p>
        </w:tc>
      </w:tr>
      <w:tr w:rsidR="002A7D10" w:rsidRPr="00BF4C1B" w14:paraId="3F782070" w14:textId="77777777" w:rsidTr="009838CD">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2FDB1FFB" w14:textId="77777777" w:rsidR="004B0D92" w:rsidRPr="004B0D92" w:rsidRDefault="004B0D92" w:rsidP="009A329B">
            <w:pPr>
              <w:spacing w:after="0" w:line="240" w:lineRule="auto"/>
              <w:rPr>
                <w:sz w:val="6"/>
                <w:szCs w:val="6"/>
              </w:rPr>
            </w:pPr>
          </w:p>
          <w:p w14:paraId="0466A2B9" w14:textId="77777777" w:rsidR="002A7D10" w:rsidRPr="00BF4C1B" w:rsidRDefault="002A7D10" w:rsidP="000F4CDF">
            <w:pPr>
              <w:spacing w:after="120" w:line="240" w:lineRule="auto"/>
              <w:rPr>
                <w:b/>
                <w:sz w:val="28"/>
                <w:szCs w:val="28"/>
              </w:rPr>
            </w:pPr>
            <w:r w:rsidRPr="00BF4C1B">
              <w:rPr>
                <w:b/>
                <w:sz w:val="28"/>
                <w:szCs w:val="28"/>
              </w:rPr>
              <w:t>TELLING OUR STORY:</w:t>
            </w:r>
          </w:p>
          <w:p w14:paraId="2990B7A7" w14:textId="03C0A19D" w:rsidR="00F73E0A" w:rsidRPr="001453C3" w:rsidRDefault="007465A4" w:rsidP="000F4CDF">
            <w:pPr>
              <w:spacing w:after="120" w:line="240" w:lineRule="auto"/>
              <w:rPr>
                <w:rFonts w:cstheme="minorHAnsi"/>
                <w:sz w:val="24"/>
                <w:szCs w:val="24"/>
              </w:rPr>
            </w:pPr>
            <w:r w:rsidRPr="001453C3">
              <w:rPr>
                <w:rFonts w:cstheme="minorHAnsi"/>
                <w:sz w:val="24"/>
                <w:szCs w:val="24"/>
              </w:rPr>
              <w:t>Percentage of the highest paid 5% of employees who are women fell by one percentage point between 2017/18 and 2018/19, contrary to the longer term trend of an increase in Argyll and Bute.</w:t>
            </w:r>
          </w:p>
          <w:p w14:paraId="2079A8D5" w14:textId="27B75359" w:rsidR="007465A4" w:rsidRPr="001453C3" w:rsidRDefault="007465A4" w:rsidP="000F4CDF">
            <w:pPr>
              <w:spacing w:after="120" w:line="240" w:lineRule="auto"/>
              <w:rPr>
                <w:rFonts w:cstheme="minorHAnsi"/>
                <w:sz w:val="24"/>
                <w:szCs w:val="24"/>
              </w:rPr>
            </w:pPr>
            <w:r w:rsidRPr="001453C3">
              <w:rPr>
                <w:rFonts w:cstheme="minorHAnsi"/>
                <w:sz w:val="24"/>
                <w:szCs w:val="24"/>
              </w:rPr>
              <w:t>Although Argyll and Bute ranks 21</w:t>
            </w:r>
            <w:r w:rsidRPr="001453C3">
              <w:rPr>
                <w:rFonts w:cstheme="minorHAnsi"/>
                <w:sz w:val="24"/>
                <w:szCs w:val="24"/>
                <w:vertAlign w:val="superscript"/>
              </w:rPr>
              <w:t>st</w:t>
            </w:r>
            <w:r w:rsidRPr="001453C3">
              <w:rPr>
                <w:rFonts w:cstheme="minorHAnsi"/>
                <w:sz w:val="24"/>
                <w:szCs w:val="24"/>
              </w:rPr>
              <w:t xml:space="preserve"> within Scotland, it is worth noting that, over the time period 2010/11 to 2018/19, Argyll and Bute experienced the fourth largest net percentage point increase for this indicator.</w:t>
            </w:r>
          </w:p>
          <w:p w14:paraId="68220322" w14:textId="0D058476" w:rsidR="007465A4" w:rsidRPr="001453C3" w:rsidRDefault="007465A4" w:rsidP="000F4CDF">
            <w:pPr>
              <w:spacing w:after="120" w:line="240" w:lineRule="auto"/>
              <w:rPr>
                <w:rFonts w:cstheme="minorHAnsi"/>
                <w:sz w:val="24"/>
                <w:szCs w:val="24"/>
              </w:rPr>
            </w:pPr>
            <w:r w:rsidRPr="001453C3">
              <w:rPr>
                <w:rFonts w:cstheme="minorHAnsi"/>
                <w:sz w:val="24"/>
                <w:szCs w:val="24"/>
              </w:rPr>
              <w:t>All Scottish Councils, with the exception of Orkney, have seen increased percentages of of highest paid 5% of employees who are women since 2010/11.</w:t>
            </w:r>
          </w:p>
          <w:p w14:paraId="536AB394" w14:textId="77777777" w:rsidR="00F73E0A" w:rsidRPr="005543B2" w:rsidRDefault="00F73E0A" w:rsidP="007D1A9D">
            <w:pPr>
              <w:spacing w:after="0" w:line="240" w:lineRule="auto"/>
              <w:rPr>
                <w:rFonts w:ascii="Arial" w:hAnsi="Arial" w:cs="Arial"/>
                <w:szCs w:val="24"/>
              </w:rPr>
            </w:pPr>
          </w:p>
        </w:tc>
      </w:tr>
      <w:tr w:rsidR="0008221F" w:rsidRPr="00BF4C1B" w14:paraId="00F254F2" w14:textId="77777777" w:rsidTr="0008221F">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2EF90CAA" w14:textId="77777777" w:rsidR="0008221F" w:rsidRPr="00BF4C1B" w:rsidRDefault="0008221F" w:rsidP="000F4CDF">
            <w:pPr>
              <w:spacing w:after="120" w:line="240" w:lineRule="auto"/>
              <w:rPr>
                <w:b/>
                <w:sz w:val="28"/>
                <w:szCs w:val="28"/>
              </w:rPr>
            </w:pPr>
            <w:r>
              <w:rPr>
                <w:b/>
                <w:sz w:val="28"/>
                <w:szCs w:val="28"/>
              </w:rPr>
              <w:t>LOOKING FORWARD - EXPECTED IMPACT ON INDICATOR</w:t>
            </w:r>
            <w:r w:rsidRPr="00BF4C1B">
              <w:rPr>
                <w:b/>
                <w:sz w:val="28"/>
                <w:szCs w:val="28"/>
              </w:rPr>
              <w:t>:</w:t>
            </w:r>
          </w:p>
          <w:p w14:paraId="4981504C" w14:textId="46A17221" w:rsidR="0008221F" w:rsidRPr="005543B2" w:rsidRDefault="006A3094" w:rsidP="000F4CDF">
            <w:pPr>
              <w:spacing w:after="120" w:line="240" w:lineRule="auto"/>
              <w:rPr>
                <w:rFonts w:ascii="Arial" w:hAnsi="Arial" w:cs="Arial"/>
                <w:szCs w:val="24"/>
              </w:rPr>
            </w:pPr>
            <w:r w:rsidRPr="006805F1">
              <w:rPr>
                <w:sz w:val="24"/>
                <w:szCs w:val="24"/>
              </w:rPr>
              <w:t xml:space="preserve">It is anticipated that this indicator will remain steady or increase slightly in future due to current positive female role models in senior positions. </w:t>
            </w:r>
          </w:p>
        </w:tc>
      </w:tr>
    </w:tbl>
    <w:p w14:paraId="25892CF3" w14:textId="77777777" w:rsidR="006805F1" w:rsidRDefault="006805F1"/>
    <w:tbl>
      <w:tblPr>
        <w:tblW w:w="15309" w:type="dxa"/>
        <w:jc w:val="center"/>
        <w:tblLook w:val="04A0" w:firstRow="1" w:lastRow="0" w:firstColumn="1" w:lastColumn="0" w:noHBand="0" w:noVBand="1"/>
      </w:tblPr>
      <w:tblGrid>
        <w:gridCol w:w="5665"/>
        <w:gridCol w:w="1985"/>
        <w:gridCol w:w="5670"/>
        <w:gridCol w:w="1989"/>
      </w:tblGrid>
      <w:tr w:rsidR="006452B6" w:rsidRPr="005D65E6" w14:paraId="6F72D001" w14:textId="77777777" w:rsidTr="006452B6">
        <w:trPr>
          <w:trHeight w:val="79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7ED93FD5" w14:textId="3F965E77" w:rsidR="006452B6" w:rsidRPr="005D65E6" w:rsidRDefault="006452B6" w:rsidP="00473295">
            <w:pPr>
              <w:rPr>
                <w:b/>
                <w:sz w:val="32"/>
              </w:rPr>
            </w:pPr>
            <w:r w:rsidRPr="005D65E6">
              <w:rPr>
                <w:b/>
                <w:sz w:val="32"/>
              </w:rPr>
              <w:t xml:space="preserve">SERVICE: </w:t>
            </w:r>
            <w:r w:rsidR="00473295">
              <w:rPr>
                <w:b/>
                <w:sz w:val="32"/>
              </w:rPr>
              <w:t>CUSTOMER SUPPORT SERVICES</w:t>
            </w:r>
          </w:p>
        </w:tc>
      </w:tr>
      <w:tr w:rsidR="00BF4C1B" w:rsidRPr="008E3A46" w14:paraId="52E75C9A" w14:textId="77777777" w:rsidTr="004B0D92">
        <w:trPr>
          <w:trHeight w:val="567"/>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22A2997F" w14:textId="07403A23" w:rsidR="00BF4C1B" w:rsidRPr="008E3A46" w:rsidRDefault="00BF4C1B" w:rsidP="002E06D1">
            <w:pPr>
              <w:pStyle w:val="Heading1"/>
              <w:spacing w:before="0" w:line="240" w:lineRule="auto"/>
              <w:rPr>
                <w:b/>
                <w:color w:val="auto"/>
              </w:rPr>
            </w:pPr>
            <w:bookmarkStart w:id="26" w:name="_Toc56757704"/>
            <w:r w:rsidRPr="008E3A46">
              <w:rPr>
                <w:b/>
                <w:color w:val="auto"/>
              </w:rPr>
              <w:t xml:space="preserve">INDICATOR REF: CORP 3c - The gender pay </w:t>
            </w:r>
            <w:proofErr w:type="gramStart"/>
            <w:r w:rsidRPr="008E3A46">
              <w:rPr>
                <w:b/>
                <w:color w:val="auto"/>
              </w:rPr>
              <w:t>gap</w:t>
            </w:r>
            <w:r w:rsidR="002E06D1">
              <w:rPr>
                <w:b/>
                <w:color w:val="auto"/>
              </w:rPr>
              <w:t>(</w:t>
            </w:r>
            <w:proofErr w:type="gramEnd"/>
            <w:r w:rsidR="002E06D1">
              <w:rPr>
                <w:b/>
                <w:color w:val="auto"/>
              </w:rPr>
              <w:t>%)</w:t>
            </w:r>
            <w:bookmarkEnd w:id="26"/>
          </w:p>
        </w:tc>
      </w:tr>
      <w:tr w:rsidR="008F2E9A" w:rsidRPr="00BF4C1B" w14:paraId="561BEFA6" w14:textId="77777777" w:rsidTr="004B0D92">
        <w:trPr>
          <w:trHeight w:val="45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10D85405" w14:textId="7ED585AC" w:rsidR="008F2E9A" w:rsidRPr="00525319" w:rsidRDefault="008F2E9A" w:rsidP="007D1A9D">
            <w:pPr>
              <w:spacing w:after="0" w:line="240" w:lineRule="auto"/>
              <w:jc w:val="center"/>
              <w:rPr>
                <w:b/>
                <w:color w:val="0070C0"/>
                <w:sz w:val="28"/>
                <w:szCs w:val="28"/>
              </w:rPr>
            </w:pPr>
            <w:r w:rsidRPr="00C577BD">
              <w:rPr>
                <w:b/>
                <w:color w:val="0070C0"/>
                <w:sz w:val="28"/>
                <w:szCs w:val="28"/>
              </w:rPr>
              <w:t>Performance Range:</w:t>
            </w:r>
            <w:r w:rsidR="00525319" w:rsidRPr="004C7782">
              <w:rPr>
                <w:b/>
                <w:color w:val="0070C0"/>
                <w:sz w:val="28"/>
                <w:szCs w:val="28"/>
              </w:rPr>
              <w:t xml:space="preserve"> </w:t>
            </w:r>
            <w:r w:rsidR="002E06D1">
              <w:rPr>
                <w:b/>
                <w:color w:val="0070C0"/>
                <w:sz w:val="28"/>
                <w:szCs w:val="28"/>
              </w:rPr>
              <w:t>-3.59</w:t>
            </w:r>
            <w:r w:rsidR="0000556A">
              <w:rPr>
                <w:b/>
                <w:color w:val="0070C0"/>
                <w:sz w:val="28"/>
                <w:szCs w:val="28"/>
              </w:rPr>
              <w:t>% to</w:t>
            </w:r>
            <w:r w:rsidR="007D1A9D">
              <w:rPr>
                <w:b/>
                <w:color w:val="0070C0"/>
                <w:sz w:val="28"/>
                <w:szCs w:val="28"/>
              </w:rPr>
              <w:t xml:space="preserve"> </w:t>
            </w:r>
            <w:r w:rsidR="002E06D1">
              <w:rPr>
                <w:b/>
                <w:color w:val="0070C0"/>
                <w:sz w:val="28"/>
                <w:szCs w:val="28"/>
              </w:rPr>
              <w:t>14.40</w:t>
            </w:r>
            <w:r w:rsidR="00BE08CC">
              <w:rPr>
                <w:b/>
                <w:color w:val="0070C0"/>
                <w:sz w:val="28"/>
                <w:szCs w:val="28"/>
              </w:rPr>
              <w:t xml:space="preserve">% </w:t>
            </w:r>
            <w:r w:rsidR="005E2139">
              <w:rPr>
                <w:b/>
                <w:color w:val="0070C0"/>
                <w:sz w:val="28"/>
                <w:szCs w:val="28"/>
              </w:rPr>
              <w:t xml:space="preserve"> </w:t>
            </w:r>
            <w:r w:rsidR="00BE08CC" w:rsidRPr="00BE08CC">
              <w:rPr>
                <w:b/>
                <w:color w:val="0070C0"/>
                <w:sz w:val="28"/>
                <w:szCs w:val="28"/>
              </w:rPr>
              <w:t>(Lowest is best)</w:t>
            </w:r>
          </w:p>
        </w:tc>
      </w:tr>
      <w:tr w:rsidR="00BF4C1B" w:rsidRPr="00BF4C1B" w14:paraId="6454B362" w14:textId="77777777" w:rsidTr="00E83409">
        <w:trPr>
          <w:trHeight w:val="397"/>
          <w:jc w:val="center"/>
        </w:trPr>
        <w:tc>
          <w:tcPr>
            <w:tcW w:w="7650"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8C5971D" w14:textId="77777777" w:rsidR="00BF4C1B" w:rsidRPr="00BF4C1B" w:rsidRDefault="00BF4C1B" w:rsidP="009A329B">
            <w:pPr>
              <w:spacing w:after="0" w:line="240" w:lineRule="auto"/>
              <w:jc w:val="center"/>
              <w:rPr>
                <w:b/>
                <w:sz w:val="28"/>
                <w:szCs w:val="28"/>
              </w:rPr>
            </w:pPr>
            <w:r w:rsidRPr="00BF4C1B">
              <w:rPr>
                <w:b/>
                <w:sz w:val="28"/>
                <w:szCs w:val="28"/>
              </w:rPr>
              <w:t>ARGYLL AND BUTE</w:t>
            </w:r>
          </w:p>
        </w:tc>
        <w:tc>
          <w:tcPr>
            <w:tcW w:w="7659"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F42E4EA" w14:textId="77777777" w:rsidR="00BF4C1B" w:rsidRPr="00BF4C1B" w:rsidRDefault="00BF4C1B" w:rsidP="009A329B">
            <w:pPr>
              <w:spacing w:after="0" w:line="240" w:lineRule="auto"/>
              <w:jc w:val="center"/>
              <w:rPr>
                <w:b/>
                <w:sz w:val="28"/>
                <w:szCs w:val="28"/>
              </w:rPr>
            </w:pPr>
            <w:r w:rsidRPr="00BF4C1B">
              <w:rPr>
                <w:b/>
                <w:sz w:val="28"/>
                <w:szCs w:val="28"/>
              </w:rPr>
              <w:t>SCOTLAND</w:t>
            </w:r>
          </w:p>
        </w:tc>
      </w:tr>
      <w:tr w:rsidR="00BF4C1B" w:rsidRPr="00BF4C1B" w14:paraId="012D8ED2" w14:textId="77777777" w:rsidTr="004B0D92">
        <w:trPr>
          <w:trHeight w:val="397"/>
          <w:jc w:val="center"/>
        </w:trPr>
        <w:tc>
          <w:tcPr>
            <w:tcW w:w="7650" w:type="dxa"/>
            <w:gridSpan w:val="2"/>
            <w:tcBorders>
              <w:top w:val="single" w:sz="4" w:space="0" w:color="auto"/>
              <w:left w:val="single" w:sz="4" w:space="0" w:color="auto"/>
              <w:bottom w:val="single" w:sz="4" w:space="0" w:color="auto"/>
              <w:right w:val="single" w:sz="4" w:space="0" w:color="auto"/>
            </w:tcBorders>
            <w:vAlign w:val="center"/>
          </w:tcPr>
          <w:p w14:paraId="2072904B" w14:textId="6076203A" w:rsidR="00BF4C1B" w:rsidRPr="0068094B" w:rsidRDefault="002E06D1" w:rsidP="009A329B">
            <w:pPr>
              <w:spacing w:after="0" w:line="240" w:lineRule="auto"/>
              <w:jc w:val="center"/>
              <w:rPr>
                <w:b/>
                <w:sz w:val="28"/>
                <w:szCs w:val="28"/>
              </w:rPr>
            </w:pPr>
            <w:r>
              <w:rPr>
                <w:b/>
                <w:sz w:val="28"/>
                <w:szCs w:val="28"/>
              </w:rPr>
              <w:t>7.76</w:t>
            </w:r>
            <w:r w:rsidR="007D1A9D">
              <w:rPr>
                <w:b/>
                <w:sz w:val="28"/>
                <w:szCs w:val="28"/>
              </w:rPr>
              <w:t>%</w:t>
            </w:r>
          </w:p>
        </w:tc>
        <w:tc>
          <w:tcPr>
            <w:tcW w:w="7659" w:type="dxa"/>
            <w:gridSpan w:val="2"/>
            <w:tcBorders>
              <w:top w:val="single" w:sz="4" w:space="0" w:color="auto"/>
              <w:left w:val="single" w:sz="4" w:space="0" w:color="auto"/>
              <w:bottom w:val="single" w:sz="4" w:space="0" w:color="auto"/>
              <w:right w:val="single" w:sz="4" w:space="0" w:color="auto"/>
            </w:tcBorders>
            <w:vAlign w:val="center"/>
          </w:tcPr>
          <w:p w14:paraId="661650FB" w14:textId="71E2A583" w:rsidR="00BF4C1B" w:rsidRPr="00BF4C1B" w:rsidRDefault="002E06D1" w:rsidP="009A329B">
            <w:pPr>
              <w:spacing w:after="0" w:line="240" w:lineRule="auto"/>
              <w:jc w:val="center"/>
              <w:rPr>
                <w:b/>
                <w:sz w:val="28"/>
                <w:szCs w:val="28"/>
              </w:rPr>
            </w:pPr>
            <w:r>
              <w:rPr>
                <w:b/>
                <w:sz w:val="28"/>
                <w:szCs w:val="28"/>
              </w:rPr>
              <w:t>3.96</w:t>
            </w:r>
            <w:r w:rsidR="007D1A9D">
              <w:rPr>
                <w:b/>
                <w:sz w:val="28"/>
                <w:szCs w:val="28"/>
              </w:rPr>
              <w:t>%</w:t>
            </w:r>
          </w:p>
        </w:tc>
      </w:tr>
      <w:tr w:rsidR="002A7D10" w:rsidRPr="00BF4C1B" w14:paraId="015ED51B" w14:textId="77777777" w:rsidTr="004B0D92">
        <w:trPr>
          <w:trHeight w:val="397"/>
          <w:jc w:val="center"/>
        </w:trPr>
        <w:tc>
          <w:tcPr>
            <w:tcW w:w="5665" w:type="dxa"/>
            <w:tcBorders>
              <w:top w:val="single" w:sz="4" w:space="0" w:color="auto"/>
              <w:left w:val="single" w:sz="4" w:space="0" w:color="auto"/>
              <w:bottom w:val="single" w:sz="4" w:space="0" w:color="auto"/>
              <w:right w:val="single" w:sz="4" w:space="0" w:color="auto"/>
            </w:tcBorders>
            <w:vAlign w:val="center"/>
          </w:tcPr>
          <w:p w14:paraId="4BCCB567" w14:textId="662389BF" w:rsidR="002A7D10" w:rsidRPr="0068094B" w:rsidRDefault="002A7D10" w:rsidP="007D1A9D">
            <w:pPr>
              <w:spacing w:after="0" w:line="240" w:lineRule="auto"/>
              <w:jc w:val="center"/>
              <w:rPr>
                <w:b/>
                <w:sz w:val="28"/>
                <w:szCs w:val="28"/>
              </w:rPr>
            </w:pPr>
            <w:r w:rsidRPr="0068094B">
              <w:rPr>
                <w:b/>
                <w:sz w:val="28"/>
                <w:szCs w:val="28"/>
              </w:rPr>
              <w:t>CHANGE 201</w:t>
            </w:r>
            <w:r w:rsidR="007D1A9D">
              <w:rPr>
                <w:b/>
                <w:sz w:val="28"/>
                <w:szCs w:val="28"/>
              </w:rPr>
              <w:t>7</w:t>
            </w:r>
            <w:r w:rsidRPr="0068094B">
              <w:rPr>
                <w:b/>
                <w:sz w:val="28"/>
                <w:szCs w:val="28"/>
              </w:rPr>
              <w:t>/</w:t>
            </w:r>
            <w:r w:rsidR="007D1A9D">
              <w:rPr>
                <w:b/>
                <w:sz w:val="28"/>
                <w:szCs w:val="28"/>
              </w:rPr>
              <w:t>18</w:t>
            </w:r>
            <w:r w:rsidRPr="0068094B">
              <w:rPr>
                <w:b/>
                <w:sz w:val="28"/>
                <w:szCs w:val="28"/>
              </w:rPr>
              <w:t xml:space="preserve"> TO 201</w:t>
            </w:r>
            <w:r w:rsidR="007D1A9D">
              <w:rPr>
                <w:b/>
                <w:sz w:val="28"/>
                <w:szCs w:val="28"/>
              </w:rPr>
              <w:t>8</w:t>
            </w:r>
            <w:r w:rsidRPr="0068094B">
              <w:rPr>
                <w:b/>
                <w:sz w:val="28"/>
                <w:szCs w:val="28"/>
              </w:rPr>
              <w:t>/1</w:t>
            </w:r>
            <w:r w:rsidR="007D1A9D">
              <w:rPr>
                <w:b/>
                <w:sz w:val="28"/>
                <w:szCs w:val="28"/>
              </w:rPr>
              <w:t>9</w:t>
            </w:r>
          </w:p>
        </w:tc>
        <w:tc>
          <w:tcPr>
            <w:tcW w:w="1985" w:type="dxa"/>
            <w:tcBorders>
              <w:top w:val="single" w:sz="4" w:space="0" w:color="auto"/>
              <w:left w:val="single" w:sz="4" w:space="0" w:color="auto"/>
              <w:bottom w:val="single" w:sz="4" w:space="0" w:color="auto"/>
              <w:right w:val="single" w:sz="4" w:space="0" w:color="auto"/>
            </w:tcBorders>
            <w:vAlign w:val="center"/>
          </w:tcPr>
          <w:p w14:paraId="07580338" w14:textId="4D8F6C4B" w:rsidR="002A7D10" w:rsidRPr="0068094B" w:rsidRDefault="002E06D1" w:rsidP="009A329B">
            <w:pPr>
              <w:spacing w:after="0" w:line="240" w:lineRule="auto"/>
              <w:jc w:val="center"/>
              <w:rPr>
                <w:b/>
                <w:sz w:val="28"/>
                <w:szCs w:val="28"/>
              </w:rPr>
            </w:pPr>
            <w:r>
              <w:rPr>
                <w:b/>
                <w:sz w:val="28"/>
                <w:szCs w:val="28"/>
              </w:rPr>
              <w:t>0.06</w:t>
            </w:r>
            <w:r w:rsidR="00E36DE8">
              <w:rPr>
                <w:b/>
                <w:sz w:val="28"/>
                <w:szCs w:val="28"/>
              </w:rPr>
              <w:t xml:space="preserve"> </w:t>
            </w:r>
            <w:r w:rsidR="00E36DE8" w:rsidRPr="00C14931">
              <w:rPr>
                <w:b/>
                <w:color w:val="FF0000"/>
                <w:sz w:val="28"/>
                <w:szCs w:val="28"/>
              </w:rPr>
              <w:sym w:font="Wingdings" w:char="F0E9"/>
            </w:r>
          </w:p>
        </w:tc>
        <w:tc>
          <w:tcPr>
            <w:tcW w:w="5670" w:type="dxa"/>
            <w:tcBorders>
              <w:top w:val="single" w:sz="4" w:space="0" w:color="auto"/>
              <w:left w:val="single" w:sz="4" w:space="0" w:color="auto"/>
              <w:bottom w:val="single" w:sz="4" w:space="0" w:color="auto"/>
              <w:right w:val="single" w:sz="4" w:space="0" w:color="auto"/>
            </w:tcBorders>
            <w:vAlign w:val="center"/>
          </w:tcPr>
          <w:p w14:paraId="56802F45" w14:textId="02FC4038" w:rsidR="002A7D10" w:rsidRPr="00BF4C1B" w:rsidRDefault="002A7D10" w:rsidP="007D1A9D">
            <w:pPr>
              <w:spacing w:after="0" w:line="240" w:lineRule="auto"/>
              <w:jc w:val="center"/>
              <w:rPr>
                <w:sz w:val="28"/>
                <w:szCs w:val="28"/>
              </w:rPr>
            </w:pPr>
            <w:r>
              <w:rPr>
                <w:sz w:val="28"/>
                <w:szCs w:val="28"/>
              </w:rPr>
              <w:t>CHANGE 201</w:t>
            </w:r>
            <w:r w:rsidR="007D1A9D">
              <w:rPr>
                <w:sz w:val="28"/>
                <w:szCs w:val="28"/>
              </w:rPr>
              <w:t>7</w:t>
            </w:r>
            <w:r>
              <w:rPr>
                <w:sz w:val="28"/>
                <w:szCs w:val="28"/>
              </w:rPr>
              <w:t>/1</w:t>
            </w:r>
            <w:r w:rsidR="007D1A9D">
              <w:rPr>
                <w:sz w:val="28"/>
                <w:szCs w:val="28"/>
              </w:rPr>
              <w:t>8</w:t>
            </w:r>
            <w:r>
              <w:rPr>
                <w:sz w:val="28"/>
                <w:szCs w:val="28"/>
              </w:rPr>
              <w:t xml:space="preserve"> TO 201</w:t>
            </w:r>
            <w:r w:rsidR="007D1A9D">
              <w:rPr>
                <w:sz w:val="28"/>
                <w:szCs w:val="28"/>
              </w:rPr>
              <w:t>8</w:t>
            </w:r>
            <w:r>
              <w:rPr>
                <w:sz w:val="28"/>
                <w:szCs w:val="28"/>
              </w:rPr>
              <w:t>/1</w:t>
            </w:r>
            <w:r w:rsidR="007D1A9D">
              <w:rPr>
                <w:sz w:val="28"/>
                <w:szCs w:val="28"/>
              </w:rPr>
              <w:t>9</w:t>
            </w:r>
          </w:p>
        </w:tc>
        <w:tc>
          <w:tcPr>
            <w:tcW w:w="1989" w:type="dxa"/>
            <w:tcBorders>
              <w:top w:val="single" w:sz="4" w:space="0" w:color="auto"/>
              <w:left w:val="single" w:sz="4" w:space="0" w:color="auto"/>
              <w:bottom w:val="single" w:sz="4" w:space="0" w:color="auto"/>
              <w:right w:val="single" w:sz="4" w:space="0" w:color="auto"/>
            </w:tcBorders>
            <w:vAlign w:val="center"/>
          </w:tcPr>
          <w:p w14:paraId="0EA23F30" w14:textId="61DE61C5" w:rsidR="002A7D10" w:rsidRDefault="00E36DE8" w:rsidP="009A329B">
            <w:pPr>
              <w:spacing w:after="0" w:line="240" w:lineRule="auto"/>
              <w:jc w:val="center"/>
              <w:rPr>
                <w:b/>
                <w:sz w:val="28"/>
                <w:szCs w:val="28"/>
              </w:rPr>
            </w:pPr>
            <w:r>
              <w:rPr>
                <w:sz w:val="28"/>
                <w:szCs w:val="28"/>
              </w:rPr>
              <w:t xml:space="preserve">0.03 </w:t>
            </w:r>
            <w:r w:rsidRPr="00C14931">
              <w:rPr>
                <w:b/>
                <w:color w:val="FF0000"/>
                <w:sz w:val="28"/>
                <w:szCs w:val="28"/>
              </w:rPr>
              <w:sym w:font="Wingdings" w:char="F0E9"/>
            </w:r>
          </w:p>
        </w:tc>
      </w:tr>
      <w:tr w:rsidR="002A7D10" w:rsidRPr="00BF4C1B" w14:paraId="6D7ECE65" w14:textId="77777777" w:rsidTr="004B0D92">
        <w:trPr>
          <w:trHeight w:val="397"/>
          <w:jc w:val="center"/>
        </w:trPr>
        <w:tc>
          <w:tcPr>
            <w:tcW w:w="5665" w:type="dxa"/>
            <w:tcBorders>
              <w:top w:val="single" w:sz="4" w:space="0" w:color="auto"/>
              <w:left w:val="single" w:sz="4" w:space="0" w:color="auto"/>
              <w:bottom w:val="single" w:sz="4" w:space="0" w:color="auto"/>
              <w:right w:val="single" w:sz="4" w:space="0" w:color="auto"/>
            </w:tcBorders>
            <w:vAlign w:val="center"/>
          </w:tcPr>
          <w:p w14:paraId="2E2216EB" w14:textId="7C6853CD" w:rsidR="002A7D10" w:rsidRPr="0068094B" w:rsidRDefault="002A7D10" w:rsidP="007D1A9D">
            <w:pPr>
              <w:spacing w:after="0" w:line="240" w:lineRule="auto"/>
              <w:jc w:val="center"/>
              <w:rPr>
                <w:b/>
                <w:sz w:val="28"/>
                <w:szCs w:val="28"/>
              </w:rPr>
            </w:pPr>
            <w:r w:rsidRPr="0068094B">
              <w:rPr>
                <w:b/>
                <w:sz w:val="28"/>
                <w:szCs w:val="28"/>
              </w:rPr>
              <w:t>CHANGE BASE YEAR TO 201</w:t>
            </w:r>
            <w:r w:rsidR="007D1A9D">
              <w:rPr>
                <w:b/>
                <w:sz w:val="28"/>
                <w:szCs w:val="28"/>
              </w:rPr>
              <w:t>8</w:t>
            </w:r>
            <w:r w:rsidRPr="0068094B">
              <w:rPr>
                <w:b/>
                <w:sz w:val="28"/>
                <w:szCs w:val="28"/>
              </w:rPr>
              <w:t>/1</w:t>
            </w:r>
            <w:r w:rsidR="007D1A9D">
              <w:rPr>
                <w:b/>
                <w:sz w:val="28"/>
                <w:szCs w:val="28"/>
              </w:rPr>
              <w:t>9</w:t>
            </w:r>
          </w:p>
        </w:tc>
        <w:tc>
          <w:tcPr>
            <w:tcW w:w="1985" w:type="dxa"/>
            <w:tcBorders>
              <w:top w:val="single" w:sz="4" w:space="0" w:color="auto"/>
              <w:left w:val="single" w:sz="4" w:space="0" w:color="auto"/>
              <w:bottom w:val="single" w:sz="4" w:space="0" w:color="auto"/>
              <w:right w:val="single" w:sz="4" w:space="0" w:color="auto"/>
            </w:tcBorders>
            <w:vAlign w:val="center"/>
          </w:tcPr>
          <w:p w14:paraId="6CD6125B" w14:textId="66103C71" w:rsidR="002A7D10" w:rsidRPr="0068094B" w:rsidRDefault="007D1A9D" w:rsidP="002E06D1">
            <w:pPr>
              <w:spacing w:after="0" w:line="240" w:lineRule="auto"/>
              <w:jc w:val="center"/>
              <w:rPr>
                <w:b/>
                <w:sz w:val="28"/>
                <w:szCs w:val="28"/>
              </w:rPr>
            </w:pPr>
            <w:r>
              <w:rPr>
                <w:b/>
                <w:sz w:val="28"/>
                <w:szCs w:val="28"/>
              </w:rPr>
              <w:t>0.0</w:t>
            </w:r>
            <w:r w:rsidR="002E06D1">
              <w:rPr>
                <w:b/>
                <w:sz w:val="28"/>
                <w:szCs w:val="28"/>
              </w:rPr>
              <w:t>5</w:t>
            </w:r>
            <w:r w:rsidR="00E36DE8">
              <w:rPr>
                <w:b/>
                <w:sz w:val="28"/>
                <w:szCs w:val="28"/>
              </w:rPr>
              <w:t xml:space="preserve"> </w:t>
            </w:r>
            <w:r w:rsidR="00E36DE8" w:rsidRPr="00C14931">
              <w:rPr>
                <w:b/>
                <w:color w:val="FF0000"/>
                <w:sz w:val="28"/>
                <w:szCs w:val="28"/>
              </w:rPr>
              <w:sym w:font="Wingdings" w:char="F0E9"/>
            </w:r>
          </w:p>
        </w:tc>
        <w:tc>
          <w:tcPr>
            <w:tcW w:w="5670" w:type="dxa"/>
            <w:tcBorders>
              <w:top w:val="single" w:sz="4" w:space="0" w:color="auto"/>
              <w:left w:val="single" w:sz="4" w:space="0" w:color="auto"/>
              <w:bottom w:val="single" w:sz="4" w:space="0" w:color="auto"/>
              <w:right w:val="single" w:sz="4" w:space="0" w:color="auto"/>
            </w:tcBorders>
            <w:vAlign w:val="center"/>
          </w:tcPr>
          <w:p w14:paraId="6B8B225B" w14:textId="2238550D" w:rsidR="002A7D10" w:rsidRPr="00BF4C1B" w:rsidRDefault="002A7D10" w:rsidP="007D1A9D">
            <w:pPr>
              <w:spacing w:after="0" w:line="240" w:lineRule="auto"/>
              <w:jc w:val="center"/>
              <w:rPr>
                <w:sz w:val="28"/>
                <w:szCs w:val="28"/>
              </w:rPr>
            </w:pPr>
            <w:r>
              <w:rPr>
                <w:sz w:val="28"/>
                <w:szCs w:val="28"/>
              </w:rPr>
              <w:t>CHANGE BASE YEAR TO 201</w:t>
            </w:r>
            <w:r w:rsidR="007D1A9D">
              <w:rPr>
                <w:sz w:val="28"/>
                <w:szCs w:val="28"/>
              </w:rPr>
              <w:t>8</w:t>
            </w:r>
            <w:r>
              <w:rPr>
                <w:sz w:val="28"/>
                <w:szCs w:val="28"/>
              </w:rPr>
              <w:t>/1</w:t>
            </w:r>
            <w:r w:rsidR="007D1A9D">
              <w:rPr>
                <w:sz w:val="28"/>
                <w:szCs w:val="28"/>
              </w:rPr>
              <w:t>9</w:t>
            </w:r>
          </w:p>
        </w:tc>
        <w:tc>
          <w:tcPr>
            <w:tcW w:w="1989" w:type="dxa"/>
            <w:tcBorders>
              <w:top w:val="single" w:sz="4" w:space="0" w:color="auto"/>
              <w:left w:val="single" w:sz="4" w:space="0" w:color="auto"/>
              <w:bottom w:val="single" w:sz="4" w:space="0" w:color="auto"/>
              <w:right w:val="single" w:sz="4" w:space="0" w:color="auto"/>
            </w:tcBorders>
            <w:vAlign w:val="center"/>
          </w:tcPr>
          <w:p w14:paraId="53B1F7DD" w14:textId="1E6EDB4D" w:rsidR="002A7D10" w:rsidRDefault="00E36DE8" w:rsidP="009A329B">
            <w:pPr>
              <w:spacing w:after="0" w:line="240" w:lineRule="auto"/>
              <w:jc w:val="center"/>
              <w:rPr>
                <w:b/>
                <w:sz w:val="28"/>
                <w:szCs w:val="28"/>
              </w:rPr>
            </w:pPr>
            <w:r>
              <w:rPr>
                <w:sz w:val="28"/>
                <w:szCs w:val="28"/>
              </w:rPr>
              <w:t xml:space="preserve">-0.54 </w:t>
            </w:r>
            <w:r w:rsidRPr="00EC5E64">
              <w:rPr>
                <w:b/>
                <w:color w:val="00B050"/>
                <w:sz w:val="28"/>
                <w:szCs w:val="28"/>
              </w:rPr>
              <w:sym w:font="Wingdings" w:char="F0EA"/>
            </w:r>
          </w:p>
        </w:tc>
      </w:tr>
      <w:tr w:rsidR="002A7D10" w:rsidRPr="00BF4C1B" w14:paraId="497F84C6" w14:textId="77777777" w:rsidTr="00B318EA">
        <w:trPr>
          <w:trHeight w:val="397"/>
          <w:jc w:val="center"/>
        </w:trPr>
        <w:tc>
          <w:tcPr>
            <w:tcW w:w="7650" w:type="dxa"/>
            <w:gridSpan w:val="2"/>
            <w:tcBorders>
              <w:top w:val="single" w:sz="4" w:space="0" w:color="auto"/>
              <w:left w:val="single" w:sz="4" w:space="0" w:color="auto"/>
              <w:bottom w:val="single" w:sz="4" w:space="0" w:color="auto"/>
              <w:right w:val="single" w:sz="4" w:space="0" w:color="auto"/>
            </w:tcBorders>
            <w:vAlign w:val="center"/>
          </w:tcPr>
          <w:p w14:paraId="34C0F539" w14:textId="332891E2" w:rsidR="002A7D10" w:rsidRPr="0068094B" w:rsidRDefault="002A7D10" w:rsidP="007D1A9D">
            <w:pPr>
              <w:spacing w:after="0" w:line="240" w:lineRule="auto"/>
              <w:jc w:val="center"/>
              <w:rPr>
                <w:b/>
                <w:sz w:val="28"/>
                <w:szCs w:val="28"/>
              </w:rPr>
            </w:pPr>
            <w:r w:rsidRPr="0068094B">
              <w:rPr>
                <w:b/>
                <w:sz w:val="28"/>
                <w:szCs w:val="28"/>
              </w:rPr>
              <w:t>RANK POSITION:</w:t>
            </w:r>
            <w:r w:rsidR="00513443" w:rsidRPr="002E06D1">
              <w:rPr>
                <w:b/>
                <w:sz w:val="28"/>
                <w:szCs w:val="28"/>
              </w:rPr>
              <w:t xml:space="preserve">  </w:t>
            </w:r>
            <w:r w:rsidR="002E06D1">
              <w:rPr>
                <w:b/>
                <w:sz w:val="28"/>
                <w:szCs w:val="28"/>
              </w:rPr>
              <w:t>29</w:t>
            </w:r>
            <w:r w:rsidR="00513443" w:rsidRPr="002E06D1">
              <w:rPr>
                <w:b/>
                <w:sz w:val="28"/>
                <w:szCs w:val="28"/>
              </w:rPr>
              <w:t xml:space="preserve">  </w:t>
            </w:r>
            <w:r w:rsidRPr="0068094B">
              <w:rPr>
                <w:b/>
                <w:sz w:val="28"/>
                <w:szCs w:val="28"/>
              </w:rPr>
              <w:t xml:space="preserve">RANK MOVEMENT: </w:t>
            </w:r>
            <w:r w:rsidR="002E06D1">
              <w:rPr>
                <w:b/>
                <w:sz w:val="28"/>
                <w:szCs w:val="28"/>
              </w:rPr>
              <w:t>-2</w:t>
            </w:r>
            <w:r w:rsidR="00E36DE8">
              <w:rPr>
                <w:b/>
                <w:sz w:val="28"/>
                <w:szCs w:val="28"/>
              </w:rPr>
              <w:t xml:space="preserve"> </w:t>
            </w:r>
            <w:r w:rsidR="00E36DE8" w:rsidRPr="00C14931">
              <w:rPr>
                <w:b/>
                <w:color w:val="FF0000"/>
                <w:sz w:val="28"/>
                <w:szCs w:val="28"/>
              </w:rPr>
              <w:sym w:font="Wingdings" w:char="F0EA"/>
            </w:r>
          </w:p>
        </w:tc>
        <w:tc>
          <w:tcPr>
            <w:tcW w:w="7659"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698C6159" w14:textId="77777777" w:rsidR="002A7D10" w:rsidRPr="00BF4C1B" w:rsidRDefault="002A7D10" w:rsidP="009A329B">
            <w:pPr>
              <w:spacing w:after="0" w:line="240" w:lineRule="auto"/>
              <w:rPr>
                <w:sz w:val="28"/>
                <w:szCs w:val="28"/>
              </w:rPr>
            </w:pPr>
          </w:p>
        </w:tc>
      </w:tr>
      <w:tr w:rsidR="008E3A46" w:rsidRPr="00BF4C1B" w14:paraId="6D1F6D54" w14:textId="77777777" w:rsidTr="00B318EA">
        <w:trPr>
          <w:trHeight w:val="397"/>
          <w:jc w:val="center"/>
        </w:trPr>
        <w:tc>
          <w:tcPr>
            <w:tcW w:w="7650"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3C1579EB" w14:textId="11704F09" w:rsidR="008E3A46" w:rsidRPr="0068094B" w:rsidRDefault="008E3A46" w:rsidP="007D1A9D">
            <w:pPr>
              <w:spacing w:after="0" w:line="240" w:lineRule="auto"/>
              <w:jc w:val="center"/>
              <w:rPr>
                <w:b/>
                <w:sz w:val="28"/>
                <w:szCs w:val="28"/>
              </w:rPr>
            </w:pPr>
            <w:r>
              <w:rPr>
                <w:b/>
                <w:sz w:val="28"/>
                <w:szCs w:val="28"/>
              </w:rPr>
              <w:t>FAMILY GROUP RANKING 201</w:t>
            </w:r>
            <w:r w:rsidR="007D1A9D">
              <w:rPr>
                <w:b/>
                <w:sz w:val="28"/>
                <w:szCs w:val="28"/>
              </w:rPr>
              <w:t>8</w:t>
            </w:r>
            <w:r>
              <w:rPr>
                <w:b/>
                <w:sz w:val="28"/>
                <w:szCs w:val="28"/>
              </w:rPr>
              <w:t>/1</w:t>
            </w:r>
            <w:r w:rsidR="007D1A9D">
              <w:rPr>
                <w:b/>
                <w:sz w:val="28"/>
                <w:szCs w:val="28"/>
              </w:rPr>
              <w:t>9</w:t>
            </w:r>
          </w:p>
        </w:tc>
        <w:tc>
          <w:tcPr>
            <w:tcW w:w="7659" w:type="dxa"/>
            <w:gridSpan w:val="2"/>
            <w:tcBorders>
              <w:left w:val="single" w:sz="4" w:space="0" w:color="auto"/>
              <w:right w:val="single" w:sz="4" w:space="0" w:color="auto"/>
            </w:tcBorders>
            <w:shd w:val="clear" w:color="auto" w:fill="D9D9D9" w:themeFill="background1" w:themeFillShade="D9"/>
            <w:vAlign w:val="center"/>
          </w:tcPr>
          <w:p w14:paraId="1EF30BFB" w14:textId="77777777" w:rsidR="008E3A46" w:rsidRPr="00BF4C1B" w:rsidRDefault="008E3A46" w:rsidP="009A329B">
            <w:pPr>
              <w:spacing w:after="0" w:line="240" w:lineRule="auto"/>
              <w:rPr>
                <w:sz w:val="28"/>
                <w:szCs w:val="28"/>
              </w:rPr>
            </w:pPr>
          </w:p>
        </w:tc>
      </w:tr>
      <w:tr w:rsidR="004B0D92" w:rsidRPr="00BF4C1B" w14:paraId="1C62A1F1" w14:textId="77777777" w:rsidTr="00B318EA">
        <w:trPr>
          <w:trHeight w:val="397"/>
          <w:jc w:val="center"/>
        </w:trPr>
        <w:tc>
          <w:tcPr>
            <w:tcW w:w="7650" w:type="dxa"/>
            <w:gridSpan w:val="2"/>
            <w:tcBorders>
              <w:left w:val="single" w:sz="4" w:space="0" w:color="auto"/>
              <w:bottom w:val="single" w:sz="4" w:space="0" w:color="auto"/>
              <w:right w:val="single" w:sz="4" w:space="0" w:color="auto"/>
            </w:tcBorders>
            <w:shd w:val="clear" w:color="auto" w:fill="D9E2F3" w:themeFill="accent5" w:themeFillTint="33"/>
            <w:vAlign w:val="center"/>
          </w:tcPr>
          <w:p w14:paraId="69B224DA" w14:textId="37F7FAB0" w:rsidR="004B0D92" w:rsidRDefault="004B0D92" w:rsidP="007D1A9D">
            <w:pPr>
              <w:spacing w:after="0" w:line="240" w:lineRule="auto"/>
              <w:jc w:val="center"/>
              <w:rPr>
                <w:b/>
                <w:sz w:val="28"/>
                <w:szCs w:val="28"/>
              </w:rPr>
            </w:pPr>
            <w:r>
              <w:rPr>
                <w:b/>
                <w:sz w:val="28"/>
                <w:szCs w:val="28"/>
              </w:rPr>
              <w:t>RANK POSITION:</w:t>
            </w:r>
            <w:r w:rsidR="00FD1CF1">
              <w:rPr>
                <w:b/>
                <w:sz w:val="28"/>
                <w:szCs w:val="28"/>
              </w:rPr>
              <w:t xml:space="preserve">  </w:t>
            </w:r>
            <w:r w:rsidR="002E06D1">
              <w:rPr>
                <w:b/>
                <w:sz w:val="28"/>
                <w:szCs w:val="28"/>
              </w:rPr>
              <w:t>6</w:t>
            </w:r>
            <w:r w:rsidR="00FD1CF1">
              <w:rPr>
                <w:b/>
                <w:sz w:val="28"/>
                <w:szCs w:val="28"/>
              </w:rPr>
              <w:t xml:space="preserve">  </w:t>
            </w:r>
            <w:r>
              <w:rPr>
                <w:b/>
                <w:sz w:val="28"/>
                <w:szCs w:val="28"/>
              </w:rPr>
              <w:t xml:space="preserve">RANK MOVEMENT: </w:t>
            </w:r>
            <w:r w:rsidR="002E06D1">
              <w:rPr>
                <w:b/>
                <w:sz w:val="28"/>
                <w:szCs w:val="28"/>
              </w:rPr>
              <w:t>-1</w:t>
            </w:r>
            <w:r w:rsidR="00E36DE8">
              <w:rPr>
                <w:b/>
                <w:sz w:val="28"/>
                <w:szCs w:val="28"/>
              </w:rPr>
              <w:t xml:space="preserve"> </w:t>
            </w:r>
            <w:r w:rsidR="00E36DE8" w:rsidRPr="00C14931">
              <w:rPr>
                <w:b/>
                <w:color w:val="FF0000"/>
                <w:sz w:val="28"/>
                <w:szCs w:val="28"/>
              </w:rPr>
              <w:sym w:font="Wingdings" w:char="F0EA"/>
            </w:r>
          </w:p>
        </w:tc>
        <w:tc>
          <w:tcPr>
            <w:tcW w:w="7659"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723CAA6A" w14:textId="77777777" w:rsidR="004B0D92" w:rsidRPr="00BF4C1B" w:rsidRDefault="004B0D92" w:rsidP="009A329B">
            <w:pPr>
              <w:spacing w:after="0" w:line="240" w:lineRule="auto"/>
              <w:rPr>
                <w:sz w:val="28"/>
                <w:szCs w:val="28"/>
              </w:rPr>
            </w:pPr>
          </w:p>
        </w:tc>
      </w:tr>
      <w:tr w:rsidR="002A7D10" w:rsidRPr="00BF4C1B" w14:paraId="08C25275" w14:textId="77777777" w:rsidTr="009838CD">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0EEB50BA" w14:textId="7E9D8DC7" w:rsidR="004B0D92" w:rsidRPr="004B0D92" w:rsidRDefault="004B0D92" w:rsidP="009A329B">
            <w:pPr>
              <w:spacing w:after="0" w:line="240" w:lineRule="auto"/>
              <w:rPr>
                <w:sz w:val="6"/>
                <w:szCs w:val="6"/>
              </w:rPr>
            </w:pPr>
          </w:p>
          <w:p w14:paraId="7484AF8E" w14:textId="77777777" w:rsidR="002A7D10" w:rsidRPr="00BF4C1B" w:rsidRDefault="002A7D10" w:rsidP="000F4CDF">
            <w:pPr>
              <w:spacing w:after="120" w:line="240" w:lineRule="auto"/>
              <w:rPr>
                <w:b/>
                <w:sz w:val="28"/>
                <w:szCs w:val="28"/>
              </w:rPr>
            </w:pPr>
            <w:r w:rsidRPr="00BF4C1B">
              <w:rPr>
                <w:b/>
                <w:sz w:val="28"/>
                <w:szCs w:val="28"/>
              </w:rPr>
              <w:t>TELLING OUR STORY:</w:t>
            </w:r>
          </w:p>
          <w:p w14:paraId="482DC457" w14:textId="77777777" w:rsidR="007465A4" w:rsidRPr="001453C3" w:rsidRDefault="007465A4" w:rsidP="000F4CDF">
            <w:pPr>
              <w:spacing w:after="120" w:line="240" w:lineRule="auto"/>
              <w:rPr>
                <w:rFonts w:cstheme="minorHAnsi"/>
                <w:sz w:val="24"/>
                <w:szCs w:val="24"/>
              </w:rPr>
            </w:pPr>
            <w:r w:rsidRPr="001453C3">
              <w:rPr>
                <w:rFonts w:cstheme="minorHAnsi"/>
                <w:sz w:val="24"/>
                <w:szCs w:val="24"/>
              </w:rPr>
              <w:t xml:space="preserve">The gender pay gap increase slightly between 2017/18 and 2018/19. </w:t>
            </w:r>
          </w:p>
          <w:p w14:paraId="7D551036" w14:textId="130E2429" w:rsidR="007465A4" w:rsidRPr="001453C3" w:rsidRDefault="007465A4" w:rsidP="000F4CDF">
            <w:pPr>
              <w:spacing w:after="120" w:line="240" w:lineRule="auto"/>
              <w:rPr>
                <w:rFonts w:cstheme="minorHAnsi"/>
                <w:sz w:val="24"/>
                <w:szCs w:val="24"/>
              </w:rPr>
            </w:pPr>
            <w:r w:rsidRPr="001453C3">
              <w:rPr>
                <w:rFonts w:cstheme="minorHAnsi"/>
                <w:sz w:val="24"/>
                <w:szCs w:val="24"/>
              </w:rPr>
              <w:t>It is important to note that the presence of a gender pay gap does not mean that women are paid less than men when doing the same job or when on the same grade. The Council has pay and grading structure that has been equality impact assessed and which ensures that everyone is paid equally for the job that they carry out.</w:t>
            </w:r>
          </w:p>
          <w:p w14:paraId="2068FC83" w14:textId="3C90D506" w:rsidR="006344CC" w:rsidRPr="001453C3" w:rsidRDefault="006344CC" w:rsidP="000F4CDF">
            <w:pPr>
              <w:spacing w:after="120" w:line="240" w:lineRule="auto"/>
              <w:rPr>
                <w:rFonts w:cstheme="minorHAnsi"/>
                <w:sz w:val="24"/>
                <w:szCs w:val="24"/>
              </w:rPr>
            </w:pPr>
            <w:r w:rsidRPr="001453C3">
              <w:rPr>
                <w:rFonts w:cstheme="minorHAnsi"/>
                <w:sz w:val="24"/>
                <w:szCs w:val="24"/>
              </w:rPr>
              <w:t>Last year's report noted that Glasgow City Council was the only local authroity that reports women are paid more then men. This was not the case in 2018/19, when Glasgow's gender pay gap indicated that men were being paid more than women. However, four other Scottish local authorities (Aberdeen City, Angus, East Lothian, and Stirling) had negative gender pay gaps in 2018/19.</w:t>
            </w:r>
          </w:p>
          <w:p w14:paraId="67A6E594" w14:textId="77777777" w:rsidR="007465A4" w:rsidRPr="005543B2" w:rsidRDefault="007465A4" w:rsidP="007D1A9D">
            <w:pPr>
              <w:spacing w:after="0" w:line="240" w:lineRule="auto"/>
              <w:rPr>
                <w:rFonts w:ascii="Arial" w:hAnsi="Arial" w:cs="Arial"/>
                <w:szCs w:val="24"/>
              </w:rPr>
            </w:pPr>
          </w:p>
        </w:tc>
      </w:tr>
      <w:tr w:rsidR="0008221F" w:rsidRPr="00BF4C1B" w14:paraId="4EEFEF41" w14:textId="77777777" w:rsidTr="0008221F">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6ED11A99" w14:textId="77777777" w:rsidR="0008221F" w:rsidRPr="004B0D92" w:rsidRDefault="0008221F" w:rsidP="0008221F">
            <w:pPr>
              <w:spacing w:after="0" w:line="240" w:lineRule="auto"/>
              <w:rPr>
                <w:sz w:val="6"/>
                <w:szCs w:val="6"/>
              </w:rPr>
            </w:pPr>
          </w:p>
          <w:p w14:paraId="66F660D5" w14:textId="77777777" w:rsidR="0008221F" w:rsidRDefault="0008221F" w:rsidP="000F4CDF">
            <w:pPr>
              <w:spacing w:after="120" w:line="240" w:lineRule="auto"/>
              <w:rPr>
                <w:b/>
                <w:sz w:val="28"/>
                <w:szCs w:val="28"/>
              </w:rPr>
            </w:pPr>
            <w:r>
              <w:rPr>
                <w:b/>
                <w:sz w:val="28"/>
                <w:szCs w:val="28"/>
              </w:rPr>
              <w:t>LOOKING FORWARD - EXPECTED IMPACT ON INDICATOR:</w:t>
            </w:r>
          </w:p>
          <w:p w14:paraId="26DFF1D2" w14:textId="3552C69B" w:rsidR="006A3094" w:rsidRPr="006805F1" w:rsidRDefault="006A3094" w:rsidP="000F4CDF">
            <w:pPr>
              <w:spacing w:after="120" w:line="240" w:lineRule="auto"/>
              <w:rPr>
                <w:sz w:val="24"/>
                <w:szCs w:val="24"/>
              </w:rPr>
            </w:pPr>
            <w:r w:rsidRPr="006805F1">
              <w:rPr>
                <w:sz w:val="24"/>
                <w:szCs w:val="24"/>
              </w:rPr>
              <w:lastRenderedPageBreak/>
              <w:t>There is unlikely to be a significant change in this indicator. The council has a fully equality impact assessed pay and grading system so is confident that the rate of pay for the job is appropriate. We also have low staff turnover, with the majority of employees being female, and this also will contribute to there being minimal likely change.</w:t>
            </w:r>
          </w:p>
          <w:p w14:paraId="7DD0D107" w14:textId="77777777" w:rsidR="0008221F" w:rsidRPr="005543B2" w:rsidRDefault="0008221F" w:rsidP="007D1A9D">
            <w:pPr>
              <w:spacing w:after="0" w:line="240" w:lineRule="auto"/>
              <w:rPr>
                <w:rFonts w:ascii="Arial" w:hAnsi="Arial" w:cs="Arial"/>
                <w:b/>
                <w:szCs w:val="24"/>
              </w:rPr>
            </w:pPr>
          </w:p>
        </w:tc>
      </w:tr>
    </w:tbl>
    <w:p w14:paraId="7637EC2B" w14:textId="77777777" w:rsidR="001D6373" w:rsidRDefault="001D6373">
      <w:r>
        <w:lastRenderedPageBreak/>
        <w:br w:type="page"/>
      </w:r>
    </w:p>
    <w:tbl>
      <w:tblPr>
        <w:tblW w:w="15309" w:type="dxa"/>
        <w:jc w:val="center"/>
        <w:tblLook w:val="04A0" w:firstRow="1" w:lastRow="0" w:firstColumn="1" w:lastColumn="0" w:noHBand="0" w:noVBand="1"/>
      </w:tblPr>
      <w:tblGrid>
        <w:gridCol w:w="5524"/>
        <w:gridCol w:w="1984"/>
        <w:gridCol w:w="5954"/>
        <w:gridCol w:w="1847"/>
      </w:tblGrid>
      <w:tr w:rsidR="006452B6" w:rsidRPr="005D65E6" w14:paraId="0B0AA235" w14:textId="77777777" w:rsidTr="006452B6">
        <w:trPr>
          <w:trHeight w:val="79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279144D7" w14:textId="17A48E32" w:rsidR="006452B6" w:rsidRPr="005D65E6" w:rsidRDefault="006452B6" w:rsidP="00473295">
            <w:pPr>
              <w:rPr>
                <w:b/>
                <w:sz w:val="32"/>
              </w:rPr>
            </w:pPr>
            <w:r w:rsidRPr="005D65E6">
              <w:rPr>
                <w:b/>
                <w:sz w:val="32"/>
              </w:rPr>
              <w:lastRenderedPageBreak/>
              <w:t xml:space="preserve">SERVICE: </w:t>
            </w:r>
            <w:r w:rsidR="00473295">
              <w:rPr>
                <w:b/>
                <w:sz w:val="32"/>
              </w:rPr>
              <w:t>CUSTOMER SUPPORT SERVICES</w:t>
            </w:r>
          </w:p>
        </w:tc>
      </w:tr>
      <w:tr w:rsidR="00BF4C1B" w:rsidRPr="008E3A46" w14:paraId="65C85409" w14:textId="77777777" w:rsidTr="004B0D92">
        <w:trPr>
          <w:trHeight w:val="567"/>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31FD8447" w14:textId="77777777" w:rsidR="00BF4C1B" w:rsidRPr="008E3A46" w:rsidRDefault="00BF4C1B" w:rsidP="009A329B">
            <w:pPr>
              <w:pStyle w:val="Heading1"/>
              <w:spacing w:before="0" w:line="240" w:lineRule="auto"/>
              <w:rPr>
                <w:b/>
                <w:color w:val="auto"/>
              </w:rPr>
            </w:pPr>
            <w:bookmarkStart w:id="27" w:name="_Toc56757705"/>
            <w:r w:rsidRPr="008E3A46">
              <w:rPr>
                <w:b/>
                <w:color w:val="auto"/>
              </w:rPr>
              <w:t xml:space="preserve">INDICATOR REF: CORP 6a - Sickness </w:t>
            </w:r>
            <w:r w:rsidR="009C3608" w:rsidRPr="008E3A46">
              <w:rPr>
                <w:b/>
                <w:color w:val="auto"/>
              </w:rPr>
              <w:t>absence days per teacher</w:t>
            </w:r>
            <w:bookmarkEnd w:id="27"/>
            <w:r w:rsidR="00CA7DF1" w:rsidRPr="008E3A46">
              <w:rPr>
                <w:b/>
                <w:color w:val="auto"/>
              </w:rPr>
              <w:t xml:space="preserve"> </w:t>
            </w:r>
          </w:p>
        </w:tc>
      </w:tr>
      <w:tr w:rsidR="008F2E9A" w:rsidRPr="00BF4C1B" w14:paraId="0752FC43" w14:textId="77777777" w:rsidTr="004B0D92">
        <w:trPr>
          <w:trHeight w:val="45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514CB89B" w14:textId="2BA4DB14" w:rsidR="008F2E9A" w:rsidRPr="00525319" w:rsidRDefault="008F2E9A" w:rsidP="001B693A">
            <w:pPr>
              <w:spacing w:after="0" w:line="240" w:lineRule="auto"/>
              <w:jc w:val="center"/>
              <w:rPr>
                <w:b/>
                <w:color w:val="0070C0"/>
                <w:sz w:val="28"/>
                <w:szCs w:val="28"/>
              </w:rPr>
            </w:pPr>
            <w:r w:rsidRPr="00C577BD">
              <w:rPr>
                <w:b/>
                <w:color w:val="0070C0"/>
                <w:sz w:val="28"/>
                <w:szCs w:val="28"/>
              </w:rPr>
              <w:t>Performance Range:</w:t>
            </w:r>
            <w:r w:rsidR="00525319" w:rsidRPr="004C7782">
              <w:rPr>
                <w:b/>
                <w:color w:val="0070C0"/>
                <w:sz w:val="28"/>
                <w:szCs w:val="28"/>
              </w:rPr>
              <w:t xml:space="preserve"> </w:t>
            </w:r>
            <w:r w:rsidR="001B693A">
              <w:rPr>
                <w:b/>
                <w:color w:val="0070C0"/>
                <w:sz w:val="28"/>
                <w:szCs w:val="28"/>
              </w:rPr>
              <w:t>4.68</w:t>
            </w:r>
            <w:r w:rsidR="0012644F">
              <w:rPr>
                <w:b/>
                <w:color w:val="0070C0"/>
                <w:sz w:val="28"/>
                <w:szCs w:val="28"/>
              </w:rPr>
              <w:t xml:space="preserve"> to </w:t>
            </w:r>
            <w:r w:rsidR="001B693A">
              <w:rPr>
                <w:b/>
                <w:color w:val="0070C0"/>
                <w:sz w:val="28"/>
                <w:szCs w:val="28"/>
              </w:rPr>
              <w:t>9.06</w:t>
            </w:r>
            <w:r w:rsidR="00525319">
              <w:rPr>
                <w:b/>
                <w:color w:val="0070C0"/>
                <w:sz w:val="28"/>
                <w:szCs w:val="28"/>
              </w:rPr>
              <w:t xml:space="preserve"> </w:t>
            </w:r>
            <w:r w:rsidR="005E2139">
              <w:rPr>
                <w:b/>
                <w:color w:val="0070C0"/>
                <w:sz w:val="28"/>
                <w:szCs w:val="28"/>
              </w:rPr>
              <w:t xml:space="preserve"> </w:t>
            </w:r>
            <w:r w:rsidR="00BE08CC" w:rsidRPr="00BE08CC">
              <w:rPr>
                <w:b/>
                <w:color w:val="0070C0"/>
                <w:sz w:val="28"/>
                <w:szCs w:val="28"/>
              </w:rPr>
              <w:t>(Lowest is best)</w:t>
            </w:r>
          </w:p>
        </w:tc>
      </w:tr>
      <w:tr w:rsidR="00BF4C1B" w:rsidRPr="00BF4C1B" w14:paraId="73B2E3EF" w14:textId="77777777" w:rsidTr="00E83409">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5A443AD" w14:textId="77777777" w:rsidR="00BF4C1B" w:rsidRPr="00BF4C1B" w:rsidRDefault="00BF4C1B" w:rsidP="009A329B">
            <w:pPr>
              <w:spacing w:after="0" w:line="240" w:lineRule="auto"/>
              <w:jc w:val="center"/>
              <w:rPr>
                <w:b/>
                <w:sz w:val="28"/>
                <w:szCs w:val="28"/>
              </w:rPr>
            </w:pPr>
            <w:r w:rsidRPr="00BF4C1B">
              <w:rPr>
                <w:b/>
                <w:sz w:val="28"/>
                <w:szCs w:val="28"/>
              </w:rPr>
              <w:t>ARGYLL AND BUTE</w:t>
            </w:r>
          </w:p>
        </w:tc>
        <w:tc>
          <w:tcPr>
            <w:tcW w:w="780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9C4F333" w14:textId="77777777" w:rsidR="00BF4C1B" w:rsidRPr="00BF4C1B" w:rsidRDefault="00BF4C1B" w:rsidP="009A329B">
            <w:pPr>
              <w:spacing w:after="0" w:line="240" w:lineRule="auto"/>
              <w:jc w:val="center"/>
              <w:rPr>
                <w:b/>
                <w:sz w:val="28"/>
                <w:szCs w:val="28"/>
              </w:rPr>
            </w:pPr>
            <w:r w:rsidRPr="00BF4C1B">
              <w:rPr>
                <w:b/>
                <w:sz w:val="28"/>
                <w:szCs w:val="28"/>
              </w:rPr>
              <w:t>SCOTLAND</w:t>
            </w:r>
          </w:p>
        </w:tc>
      </w:tr>
      <w:tr w:rsidR="00BF4C1B" w:rsidRPr="00BF4C1B" w14:paraId="18FC18E9" w14:textId="77777777" w:rsidTr="004B0D92">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vAlign w:val="center"/>
          </w:tcPr>
          <w:p w14:paraId="30DF440E" w14:textId="6F50312D" w:rsidR="00BF4C1B" w:rsidRPr="0068094B" w:rsidRDefault="001B693A" w:rsidP="009A329B">
            <w:pPr>
              <w:spacing w:after="0" w:line="240" w:lineRule="auto"/>
              <w:jc w:val="center"/>
              <w:rPr>
                <w:b/>
                <w:sz w:val="28"/>
                <w:szCs w:val="28"/>
              </w:rPr>
            </w:pPr>
            <w:r>
              <w:rPr>
                <w:b/>
                <w:sz w:val="28"/>
                <w:szCs w:val="28"/>
              </w:rPr>
              <w:t>5.73</w:t>
            </w:r>
          </w:p>
        </w:tc>
        <w:tc>
          <w:tcPr>
            <w:tcW w:w="7801" w:type="dxa"/>
            <w:gridSpan w:val="2"/>
            <w:tcBorders>
              <w:top w:val="single" w:sz="4" w:space="0" w:color="auto"/>
              <w:left w:val="single" w:sz="4" w:space="0" w:color="auto"/>
              <w:bottom w:val="single" w:sz="4" w:space="0" w:color="auto"/>
              <w:right w:val="single" w:sz="4" w:space="0" w:color="auto"/>
            </w:tcBorders>
            <w:vAlign w:val="center"/>
          </w:tcPr>
          <w:p w14:paraId="0042AD39" w14:textId="18061D32" w:rsidR="00BF4C1B" w:rsidRPr="00BF4C1B" w:rsidRDefault="001B693A" w:rsidP="009A329B">
            <w:pPr>
              <w:spacing w:after="0" w:line="240" w:lineRule="auto"/>
              <w:jc w:val="center"/>
              <w:rPr>
                <w:b/>
                <w:sz w:val="28"/>
                <w:szCs w:val="28"/>
              </w:rPr>
            </w:pPr>
            <w:r>
              <w:rPr>
                <w:b/>
                <w:sz w:val="28"/>
                <w:szCs w:val="28"/>
              </w:rPr>
              <w:t>6.21</w:t>
            </w:r>
          </w:p>
        </w:tc>
      </w:tr>
      <w:tr w:rsidR="002A7D10" w:rsidRPr="00BF4C1B" w14:paraId="2A4FBD37" w14:textId="77777777" w:rsidTr="004B0D92">
        <w:trPr>
          <w:trHeight w:val="397"/>
          <w:jc w:val="center"/>
        </w:trPr>
        <w:tc>
          <w:tcPr>
            <w:tcW w:w="5524" w:type="dxa"/>
            <w:tcBorders>
              <w:top w:val="single" w:sz="4" w:space="0" w:color="auto"/>
              <w:left w:val="single" w:sz="4" w:space="0" w:color="auto"/>
              <w:bottom w:val="single" w:sz="4" w:space="0" w:color="auto"/>
              <w:right w:val="single" w:sz="4" w:space="0" w:color="auto"/>
            </w:tcBorders>
            <w:vAlign w:val="center"/>
          </w:tcPr>
          <w:p w14:paraId="1A5454C7" w14:textId="16A00E3D" w:rsidR="002A7D10" w:rsidRPr="0068094B" w:rsidRDefault="002A7D10" w:rsidP="001D6373">
            <w:pPr>
              <w:spacing w:after="0" w:line="240" w:lineRule="auto"/>
              <w:jc w:val="center"/>
              <w:rPr>
                <w:b/>
                <w:sz w:val="28"/>
                <w:szCs w:val="28"/>
              </w:rPr>
            </w:pPr>
            <w:r w:rsidRPr="0068094B">
              <w:rPr>
                <w:b/>
                <w:sz w:val="28"/>
                <w:szCs w:val="28"/>
              </w:rPr>
              <w:t>CHANGE 201</w:t>
            </w:r>
            <w:r w:rsidR="001D6373">
              <w:rPr>
                <w:b/>
                <w:sz w:val="28"/>
                <w:szCs w:val="28"/>
              </w:rPr>
              <w:t>7</w:t>
            </w:r>
            <w:r w:rsidRPr="0068094B">
              <w:rPr>
                <w:b/>
                <w:sz w:val="28"/>
                <w:szCs w:val="28"/>
              </w:rPr>
              <w:t>/1</w:t>
            </w:r>
            <w:r w:rsidR="001D6373">
              <w:rPr>
                <w:b/>
                <w:sz w:val="28"/>
                <w:szCs w:val="28"/>
              </w:rPr>
              <w:t>8</w:t>
            </w:r>
            <w:r w:rsidRPr="0068094B">
              <w:rPr>
                <w:b/>
                <w:sz w:val="28"/>
                <w:szCs w:val="28"/>
              </w:rPr>
              <w:t xml:space="preserve"> TO 201</w:t>
            </w:r>
            <w:r w:rsidR="001D6373">
              <w:rPr>
                <w:b/>
                <w:sz w:val="28"/>
                <w:szCs w:val="28"/>
              </w:rPr>
              <w:t>8</w:t>
            </w:r>
            <w:r w:rsidRPr="0068094B">
              <w:rPr>
                <w:b/>
                <w:sz w:val="28"/>
                <w:szCs w:val="28"/>
              </w:rPr>
              <w:t>/1</w:t>
            </w:r>
            <w:r w:rsidR="001D6373">
              <w:rPr>
                <w:b/>
                <w:sz w:val="28"/>
                <w:szCs w:val="28"/>
              </w:rPr>
              <w:t>9</w:t>
            </w:r>
          </w:p>
        </w:tc>
        <w:tc>
          <w:tcPr>
            <w:tcW w:w="1984" w:type="dxa"/>
            <w:tcBorders>
              <w:top w:val="single" w:sz="4" w:space="0" w:color="auto"/>
              <w:left w:val="single" w:sz="4" w:space="0" w:color="auto"/>
              <w:bottom w:val="single" w:sz="4" w:space="0" w:color="auto"/>
              <w:right w:val="single" w:sz="4" w:space="0" w:color="auto"/>
            </w:tcBorders>
            <w:vAlign w:val="center"/>
          </w:tcPr>
          <w:p w14:paraId="304505A1" w14:textId="5EFE0422" w:rsidR="002A7D10" w:rsidRPr="0068094B" w:rsidRDefault="001B693A" w:rsidP="009A329B">
            <w:pPr>
              <w:spacing w:after="0" w:line="240" w:lineRule="auto"/>
              <w:jc w:val="center"/>
              <w:rPr>
                <w:b/>
                <w:sz w:val="28"/>
                <w:szCs w:val="28"/>
              </w:rPr>
            </w:pPr>
            <w:r>
              <w:rPr>
                <w:b/>
                <w:sz w:val="28"/>
                <w:szCs w:val="28"/>
              </w:rPr>
              <w:t>-2.71</w:t>
            </w:r>
            <w:r w:rsidR="001D6373">
              <w:rPr>
                <w:b/>
                <w:sz w:val="28"/>
                <w:szCs w:val="28"/>
              </w:rPr>
              <w:t>%</w:t>
            </w:r>
            <w:r w:rsidR="009003C7">
              <w:rPr>
                <w:b/>
                <w:sz w:val="28"/>
                <w:szCs w:val="28"/>
              </w:rPr>
              <w:t xml:space="preserve"> </w:t>
            </w:r>
            <w:r w:rsidR="009003C7" w:rsidRPr="00EC5E64">
              <w:rPr>
                <w:b/>
                <w:color w:val="00B050"/>
                <w:sz w:val="28"/>
                <w:szCs w:val="28"/>
              </w:rPr>
              <w:sym w:font="Wingdings" w:char="F0EA"/>
            </w:r>
          </w:p>
        </w:tc>
        <w:tc>
          <w:tcPr>
            <w:tcW w:w="5954" w:type="dxa"/>
            <w:tcBorders>
              <w:top w:val="single" w:sz="4" w:space="0" w:color="auto"/>
              <w:left w:val="single" w:sz="4" w:space="0" w:color="auto"/>
              <w:bottom w:val="single" w:sz="4" w:space="0" w:color="auto"/>
              <w:right w:val="single" w:sz="4" w:space="0" w:color="auto"/>
            </w:tcBorders>
            <w:vAlign w:val="center"/>
          </w:tcPr>
          <w:p w14:paraId="62F5CB62" w14:textId="6C81BCDE" w:rsidR="002A7D10" w:rsidRPr="00BF4C1B" w:rsidRDefault="002A7D10" w:rsidP="001D6373">
            <w:pPr>
              <w:spacing w:after="0" w:line="240" w:lineRule="auto"/>
              <w:jc w:val="center"/>
              <w:rPr>
                <w:sz w:val="28"/>
                <w:szCs w:val="28"/>
              </w:rPr>
            </w:pPr>
            <w:r>
              <w:rPr>
                <w:sz w:val="28"/>
                <w:szCs w:val="28"/>
              </w:rPr>
              <w:t>CHANGE 201</w:t>
            </w:r>
            <w:r w:rsidR="001D6373">
              <w:rPr>
                <w:sz w:val="28"/>
                <w:szCs w:val="28"/>
              </w:rPr>
              <w:t>7</w:t>
            </w:r>
            <w:r>
              <w:rPr>
                <w:sz w:val="28"/>
                <w:szCs w:val="28"/>
              </w:rPr>
              <w:t>/1</w:t>
            </w:r>
            <w:r w:rsidR="001D6373">
              <w:rPr>
                <w:sz w:val="28"/>
                <w:szCs w:val="28"/>
              </w:rPr>
              <w:t>8</w:t>
            </w:r>
            <w:r>
              <w:rPr>
                <w:sz w:val="28"/>
                <w:szCs w:val="28"/>
              </w:rPr>
              <w:t xml:space="preserve"> TO 201</w:t>
            </w:r>
            <w:r w:rsidR="001D6373">
              <w:rPr>
                <w:sz w:val="28"/>
                <w:szCs w:val="28"/>
              </w:rPr>
              <w:t>8</w:t>
            </w:r>
            <w:r>
              <w:rPr>
                <w:sz w:val="28"/>
                <w:szCs w:val="28"/>
              </w:rPr>
              <w:t>/1</w:t>
            </w:r>
            <w:r w:rsidR="00E15EAC">
              <w:rPr>
                <w:sz w:val="28"/>
                <w:szCs w:val="28"/>
              </w:rPr>
              <w:t>9</w:t>
            </w:r>
          </w:p>
        </w:tc>
        <w:tc>
          <w:tcPr>
            <w:tcW w:w="1847" w:type="dxa"/>
            <w:tcBorders>
              <w:top w:val="single" w:sz="4" w:space="0" w:color="auto"/>
              <w:left w:val="single" w:sz="4" w:space="0" w:color="auto"/>
              <w:bottom w:val="single" w:sz="4" w:space="0" w:color="auto"/>
              <w:right w:val="single" w:sz="4" w:space="0" w:color="auto"/>
            </w:tcBorders>
            <w:vAlign w:val="center"/>
          </w:tcPr>
          <w:p w14:paraId="0A884F1D" w14:textId="3864E623" w:rsidR="002A7D10" w:rsidRPr="009003C7" w:rsidRDefault="009003C7" w:rsidP="009A329B">
            <w:pPr>
              <w:spacing w:after="0" w:line="240" w:lineRule="auto"/>
              <w:jc w:val="center"/>
              <w:rPr>
                <w:b/>
                <w:sz w:val="28"/>
                <w:szCs w:val="28"/>
              </w:rPr>
            </w:pPr>
            <w:r>
              <w:rPr>
                <w:sz w:val="28"/>
                <w:szCs w:val="28"/>
              </w:rPr>
              <w:t>4.63</w:t>
            </w:r>
            <w:r w:rsidR="001D6373" w:rsidRPr="009003C7">
              <w:rPr>
                <w:sz w:val="28"/>
                <w:szCs w:val="28"/>
              </w:rPr>
              <w:t>%</w:t>
            </w:r>
            <w:r>
              <w:rPr>
                <w:sz w:val="28"/>
                <w:szCs w:val="28"/>
              </w:rPr>
              <w:t xml:space="preserve"> </w:t>
            </w:r>
            <w:r w:rsidRPr="00C14931">
              <w:rPr>
                <w:b/>
                <w:color w:val="FF0000"/>
                <w:sz w:val="28"/>
                <w:szCs w:val="28"/>
              </w:rPr>
              <w:sym w:font="Wingdings" w:char="F0E9"/>
            </w:r>
          </w:p>
        </w:tc>
      </w:tr>
      <w:tr w:rsidR="002A7D10" w:rsidRPr="00BF4C1B" w14:paraId="66E9B906" w14:textId="77777777" w:rsidTr="004B0D92">
        <w:trPr>
          <w:trHeight w:val="397"/>
          <w:jc w:val="center"/>
        </w:trPr>
        <w:tc>
          <w:tcPr>
            <w:tcW w:w="5524" w:type="dxa"/>
            <w:tcBorders>
              <w:top w:val="single" w:sz="4" w:space="0" w:color="auto"/>
              <w:left w:val="single" w:sz="4" w:space="0" w:color="auto"/>
              <w:bottom w:val="single" w:sz="4" w:space="0" w:color="auto"/>
              <w:right w:val="single" w:sz="4" w:space="0" w:color="auto"/>
            </w:tcBorders>
            <w:vAlign w:val="center"/>
          </w:tcPr>
          <w:p w14:paraId="501AAADD" w14:textId="154EF701" w:rsidR="002A7D10" w:rsidRPr="0068094B" w:rsidRDefault="002A7D10" w:rsidP="001D6373">
            <w:pPr>
              <w:spacing w:after="0" w:line="240" w:lineRule="auto"/>
              <w:jc w:val="center"/>
              <w:rPr>
                <w:b/>
                <w:sz w:val="28"/>
                <w:szCs w:val="28"/>
              </w:rPr>
            </w:pPr>
            <w:r w:rsidRPr="0068094B">
              <w:rPr>
                <w:b/>
                <w:sz w:val="28"/>
                <w:szCs w:val="28"/>
              </w:rPr>
              <w:t>CHANGE BASE YEAR TO 201</w:t>
            </w:r>
            <w:r w:rsidR="001D6373">
              <w:rPr>
                <w:b/>
                <w:sz w:val="28"/>
                <w:szCs w:val="28"/>
              </w:rPr>
              <w:t>8</w:t>
            </w:r>
            <w:r w:rsidRPr="0068094B">
              <w:rPr>
                <w:b/>
                <w:sz w:val="28"/>
                <w:szCs w:val="28"/>
              </w:rPr>
              <w:t>/1</w:t>
            </w:r>
            <w:r w:rsidR="001D6373">
              <w:rPr>
                <w:b/>
                <w:sz w:val="28"/>
                <w:szCs w:val="28"/>
              </w:rPr>
              <w:t>9</w:t>
            </w:r>
          </w:p>
        </w:tc>
        <w:tc>
          <w:tcPr>
            <w:tcW w:w="1984" w:type="dxa"/>
            <w:tcBorders>
              <w:top w:val="single" w:sz="4" w:space="0" w:color="auto"/>
              <w:left w:val="single" w:sz="4" w:space="0" w:color="auto"/>
              <w:bottom w:val="single" w:sz="4" w:space="0" w:color="auto"/>
              <w:right w:val="single" w:sz="4" w:space="0" w:color="auto"/>
            </w:tcBorders>
            <w:vAlign w:val="center"/>
          </w:tcPr>
          <w:p w14:paraId="2A19CFDB" w14:textId="3626693F" w:rsidR="002A7D10" w:rsidRPr="0068094B" w:rsidRDefault="001B693A" w:rsidP="009A329B">
            <w:pPr>
              <w:spacing w:after="0" w:line="240" w:lineRule="auto"/>
              <w:jc w:val="center"/>
              <w:rPr>
                <w:b/>
                <w:sz w:val="28"/>
                <w:szCs w:val="28"/>
              </w:rPr>
            </w:pPr>
            <w:r>
              <w:rPr>
                <w:b/>
                <w:sz w:val="28"/>
                <w:szCs w:val="28"/>
              </w:rPr>
              <w:t>-27.03</w:t>
            </w:r>
            <w:r w:rsidR="001D6373">
              <w:rPr>
                <w:b/>
                <w:sz w:val="28"/>
                <w:szCs w:val="28"/>
              </w:rPr>
              <w:t>%</w:t>
            </w:r>
            <w:r w:rsidR="009003C7">
              <w:rPr>
                <w:b/>
                <w:sz w:val="28"/>
                <w:szCs w:val="28"/>
              </w:rPr>
              <w:t xml:space="preserve"> </w:t>
            </w:r>
            <w:r w:rsidR="009003C7" w:rsidRPr="00EC5E64">
              <w:rPr>
                <w:b/>
                <w:color w:val="00B050"/>
                <w:sz w:val="28"/>
                <w:szCs w:val="28"/>
              </w:rPr>
              <w:sym w:font="Wingdings" w:char="F0EA"/>
            </w:r>
          </w:p>
        </w:tc>
        <w:tc>
          <w:tcPr>
            <w:tcW w:w="5954" w:type="dxa"/>
            <w:tcBorders>
              <w:top w:val="single" w:sz="4" w:space="0" w:color="auto"/>
              <w:left w:val="single" w:sz="4" w:space="0" w:color="auto"/>
              <w:bottom w:val="single" w:sz="4" w:space="0" w:color="auto"/>
              <w:right w:val="single" w:sz="4" w:space="0" w:color="auto"/>
            </w:tcBorders>
            <w:vAlign w:val="center"/>
          </w:tcPr>
          <w:p w14:paraId="3B47C9CB" w14:textId="4837901A" w:rsidR="002A7D10" w:rsidRPr="00BF4C1B" w:rsidRDefault="002A7D10" w:rsidP="00E15EAC">
            <w:pPr>
              <w:spacing w:after="0" w:line="240" w:lineRule="auto"/>
              <w:jc w:val="center"/>
              <w:rPr>
                <w:sz w:val="28"/>
                <w:szCs w:val="28"/>
              </w:rPr>
            </w:pPr>
            <w:r>
              <w:rPr>
                <w:sz w:val="28"/>
                <w:szCs w:val="28"/>
              </w:rPr>
              <w:t>CHANGE BASE YEAR TO 201</w:t>
            </w:r>
            <w:r w:rsidR="00E15EAC">
              <w:rPr>
                <w:sz w:val="28"/>
                <w:szCs w:val="28"/>
              </w:rPr>
              <w:t>8</w:t>
            </w:r>
            <w:r>
              <w:rPr>
                <w:sz w:val="28"/>
                <w:szCs w:val="28"/>
              </w:rPr>
              <w:t>/1</w:t>
            </w:r>
            <w:r w:rsidR="00E15EAC">
              <w:rPr>
                <w:sz w:val="28"/>
                <w:szCs w:val="28"/>
              </w:rPr>
              <w:t>9</w:t>
            </w:r>
          </w:p>
        </w:tc>
        <w:tc>
          <w:tcPr>
            <w:tcW w:w="1847" w:type="dxa"/>
            <w:tcBorders>
              <w:top w:val="single" w:sz="4" w:space="0" w:color="auto"/>
              <w:left w:val="single" w:sz="4" w:space="0" w:color="auto"/>
              <w:bottom w:val="single" w:sz="4" w:space="0" w:color="auto"/>
              <w:right w:val="single" w:sz="4" w:space="0" w:color="auto"/>
            </w:tcBorders>
            <w:vAlign w:val="center"/>
          </w:tcPr>
          <w:p w14:paraId="4C15444A" w14:textId="78E7F8DC" w:rsidR="002A7D10" w:rsidRPr="009003C7" w:rsidRDefault="009003C7" w:rsidP="009A329B">
            <w:pPr>
              <w:spacing w:after="0" w:line="240" w:lineRule="auto"/>
              <w:jc w:val="center"/>
              <w:rPr>
                <w:b/>
                <w:sz w:val="28"/>
                <w:szCs w:val="28"/>
              </w:rPr>
            </w:pPr>
            <w:r>
              <w:rPr>
                <w:sz w:val="28"/>
                <w:szCs w:val="28"/>
              </w:rPr>
              <w:t>-6.0</w:t>
            </w:r>
            <w:r w:rsidR="001D6373" w:rsidRPr="009003C7">
              <w:rPr>
                <w:sz w:val="28"/>
                <w:szCs w:val="28"/>
              </w:rPr>
              <w:t>%</w:t>
            </w:r>
            <w:r>
              <w:rPr>
                <w:sz w:val="28"/>
                <w:szCs w:val="28"/>
              </w:rPr>
              <w:t xml:space="preserve"> </w:t>
            </w:r>
            <w:r w:rsidRPr="00EC5E64">
              <w:rPr>
                <w:b/>
                <w:color w:val="00B050"/>
                <w:sz w:val="28"/>
                <w:szCs w:val="28"/>
              </w:rPr>
              <w:sym w:font="Wingdings" w:char="F0EA"/>
            </w:r>
          </w:p>
        </w:tc>
      </w:tr>
      <w:tr w:rsidR="0068094B" w:rsidRPr="00BF4C1B" w14:paraId="4FB1E22A" w14:textId="77777777" w:rsidTr="00B318EA">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vAlign w:val="center"/>
          </w:tcPr>
          <w:p w14:paraId="2F6C1BD5" w14:textId="74F627A3" w:rsidR="0068094B" w:rsidRPr="0068094B" w:rsidRDefault="0068094B" w:rsidP="001D6373">
            <w:pPr>
              <w:spacing w:after="0" w:line="240" w:lineRule="auto"/>
              <w:jc w:val="center"/>
              <w:rPr>
                <w:b/>
                <w:sz w:val="28"/>
                <w:szCs w:val="28"/>
              </w:rPr>
            </w:pPr>
            <w:r w:rsidRPr="0068094B">
              <w:rPr>
                <w:b/>
                <w:sz w:val="28"/>
                <w:szCs w:val="28"/>
              </w:rPr>
              <w:t>RANK POSITION:</w:t>
            </w:r>
            <w:r w:rsidR="00513443" w:rsidRPr="001B693A">
              <w:rPr>
                <w:b/>
                <w:sz w:val="28"/>
                <w:szCs w:val="28"/>
              </w:rPr>
              <w:t xml:space="preserve">  </w:t>
            </w:r>
            <w:r w:rsidR="001B693A">
              <w:rPr>
                <w:b/>
                <w:sz w:val="28"/>
                <w:szCs w:val="28"/>
              </w:rPr>
              <w:t>12</w:t>
            </w:r>
            <w:r w:rsidR="00513443" w:rsidRPr="001B693A">
              <w:rPr>
                <w:b/>
                <w:sz w:val="28"/>
                <w:szCs w:val="28"/>
              </w:rPr>
              <w:t xml:space="preserve">  </w:t>
            </w:r>
            <w:r w:rsidRPr="0068094B">
              <w:rPr>
                <w:b/>
                <w:sz w:val="28"/>
                <w:szCs w:val="28"/>
              </w:rPr>
              <w:t xml:space="preserve">RANK MOVEMENT: </w:t>
            </w:r>
            <w:r w:rsidR="001B693A">
              <w:rPr>
                <w:b/>
                <w:sz w:val="28"/>
                <w:szCs w:val="28"/>
              </w:rPr>
              <w:t>4</w:t>
            </w:r>
            <w:r w:rsidR="009003C7">
              <w:rPr>
                <w:b/>
                <w:sz w:val="28"/>
                <w:szCs w:val="28"/>
              </w:rPr>
              <w:t xml:space="preserve"> </w:t>
            </w:r>
            <w:r w:rsidR="009003C7" w:rsidRPr="00EC5E64">
              <w:rPr>
                <w:b/>
                <w:color w:val="00B050"/>
                <w:sz w:val="28"/>
                <w:szCs w:val="28"/>
              </w:rPr>
              <w:sym w:font="Wingdings" w:char="F0E9"/>
            </w:r>
          </w:p>
        </w:tc>
        <w:tc>
          <w:tcPr>
            <w:tcW w:w="780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61748F7F" w14:textId="77777777" w:rsidR="0068094B" w:rsidRPr="00BF4C1B" w:rsidRDefault="0068094B" w:rsidP="009A329B">
            <w:pPr>
              <w:spacing w:after="0" w:line="240" w:lineRule="auto"/>
              <w:rPr>
                <w:sz w:val="28"/>
                <w:szCs w:val="28"/>
              </w:rPr>
            </w:pPr>
          </w:p>
        </w:tc>
      </w:tr>
      <w:tr w:rsidR="008E3A46" w:rsidRPr="00BF4C1B" w14:paraId="598ED83E" w14:textId="77777777" w:rsidTr="00B318EA">
        <w:trPr>
          <w:trHeight w:val="397"/>
          <w:jc w:val="center"/>
        </w:trPr>
        <w:tc>
          <w:tcPr>
            <w:tcW w:w="7508"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763E35BA" w14:textId="77777777" w:rsidR="008E3A46" w:rsidRPr="0068094B" w:rsidRDefault="004B0D92" w:rsidP="004B0D92">
            <w:pPr>
              <w:spacing w:after="0" w:line="240" w:lineRule="auto"/>
              <w:jc w:val="center"/>
              <w:rPr>
                <w:b/>
                <w:sz w:val="28"/>
                <w:szCs w:val="28"/>
              </w:rPr>
            </w:pPr>
            <w:r>
              <w:rPr>
                <w:b/>
                <w:sz w:val="28"/>
                <w:szCs w:val="28"/>
              </w:rPr>
              <w:t>FAMILY GROUP RANKING 2017/18</w:t>
            </w:r>
          </w:p>
        </w:tc>
        <w:tc>
          <w:tcPr>
            <w:tcW w:w="7801" w:type="dxa"/>
            <w:gridSpan w:val="2"/>
            <w:tcBorders>
              <w:left w:val="single" w:sz="4" w:space="0" w:color="auto"/>
              <w:right w:val="single" w:sz="4" w:space="0" w:color="auto"/>
            </w:tcBorders>
            <w:shd w:val="clear" w:color="auto" w:fill="D9D9D9" w:themeFill="background1" w:themeFillShade="D9"/>
            <w:vAlign w:val="center"/>
          </w:tcPr>
          <w:p w14:paraId="4BA023EB" w14:textId="77777777" w:rsidR="008E3A46" w:rsidRPr="00BF4C1B" w:rsidRDefault="008E3A46" w:rsidP="009A329B">
            <w:pPr>
              <w:spacing w:after="0" w:line="240" w:lineRule="auto"/>
              <w:rPr>
                <w:sz w:val="28"/>
                <w:szCs w:val="28"/>
              </w:rPr>
            </w:pPr>
          </w:p>
        </w:tc>
      </w:tr>
      <w:tr w:rsidR="004B0D92" w:rsidRPr="00BF4C1B" w14:paraId="70AE600B" w14:textId="77777777" w:rsidTr="00B318EA">
        <w:trPr>
          <w:trHeight w:val="397"/>
          <w:jc w:val="center"/>
        </w:trPr>
        <w:tc>
          <w:tcPr>
            <w:tcW w:w="7508" w:type="dxa"/>
            <w:gridSpan w:val="2"/>
            <w:tcBorders>
              <w:left w:val="single" w:sz="4" w:space="0" w:color="auto"/>
              <w:bottom w:val="single" w:sz="4" w:space="0" w:color="auto"/>
              <w:right w:val="single" w:sz="4" w:space="0" w:color="auto"/>
            </w:tcBorders>
            <w:shd w:val="clear" w:color="auto" w:fill="D9E2F3" w:themeFill="accent5" w:themeFillTint="33"/>
            <w:vAlign w:val="center"/>
          </w:tcPr>
          <w:p w14:paraId="580AB59D" w14:textId="01AF51B4" w:rsidR="004B0D92" w:rsidRDefault="004B0D92" w:rsidP="001D6373">
            <w:pPr>
              <w:spacing w:after="0" w:line="240" w:lineRule="auto"/>
              <w:jc w:val="center"/>
              <w:rPr>
                <w:b/>
                <w:sz w:val="28"/>
                <w:szCs w:val="28"/>
              </w:rPr>
            </w:pPr>
            <w:r>
              <w:rPr>
                <w:b/>
                <w:sz w:val="28"/>
                <w:szCs w:val="28"/>
              </w:rPr>
              <w:t>RANK POSITION:</w:t>
            </w:r>
            <w:r w:rsidR="00FD1CF1">
              <w:rPr>
                <w:b/>
                <w:sz w:val="28"/>
                <w:szCs w:val="28"/>
              </w:rPr>
              <w:t xml:space="preserve">  </w:t>
            </w:r>
            <w:r w:rsidR="004072BD">
              <w:rPr>
                <w:b/>
                <w:sz w:val="28"/>
                <w:szCs w:val="28"/>
              </w:rPr>
              <w:t>1</w:t>
            </w:r>
            <w:r w:rsidR="00FD1CF1">
              <w:rPr>
                <w:b/>
                <w:sz w:val="28"/>
                <w:szCs w:val="28"/>
              </w:rPr>
              <w:t xml:space="preserve">  </w:t>
            </w:r>
            <w:r>
              <w:rPr>
                <w:b/>
                <w:sz w:val="28"/>
                <w:szCs w:val="28"/>
              </w:rPr>
              <w:t xml:space="preserve">RANK MOVEMENT: </w:t>
            </w:r>
            <w:r w:rsidR="001B693A">
              <w:rPr>
                <w:b/>
                <w:sz w:val="28"/>
                <w:szCs w:val="28"/>
              </w:rPr>
              <w:t>1</w:t>
            </w:r>
            <w:r w:rsidR="009003C7">
              <w:rPr>
                <w:b/>
                <w:sz w:val="28"/>
                <w:szCs w:val="28"/>
              </w:rPr>
              <w:t xml:space="preserve"> </w:t>
            </w:r>
            <w:r w:rsidR="009003C7" w:rsidRPr="00EC5E64">
              <w:rPr>
                <w:b/>
                <w:color w:val="00B050"/>
                <w:sz w:val="28"/>
                <w:szCs w:val="28"/>
              </w:rPr>
              <w:sym w:font="Wingdings" w:char="F0E9"/>
            </w:r>
          </w:p>
        </w:tc>
        <w:tc>
          <w:tcPr>
            <w:tcW w:w="7801"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2DE621E0" w14:textId="77777777" w:rsidR="004B0D92" w:rsidRPr="00BF4C1B" w:rsidRDefault="004B0D92" w:rsidP="009A329B">
            <w:pPr>
              <w:spacing w:after="0" w:line="240" w:lineRule="auto"/>
              <w:rPr>
                <w:sz w:val="28"/>
                <w:szCs w:val="28"/>
              </w:rPr>
            </w:pPr>
          </w:p>
        </w:tc>
      </w:tr>
      <w:tr w:rsidR="00BF4C1B" w:rsidRPr="00BF4C1B" w14:paraId="6DB97FB1" w14:textId="77777777" w:rsidTr="009838CD">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6CA785BF" w14:textId="77777777" w:rsidR="004B0D92" w:rsidRPr="004B0D92" w:rsidRDefault="004B0D92" w:rsidP="009A329B">
            <w:pPr>
              <w:spacing w:after="0" w:line="240" w:lineRule="auto"/>
              <w:rPr>
                <w:sz w:val="6"/>
                <w:szCs w:val="6"/>
              </w:rPr>
            </w:pPr>
          </w:p>
          <w:p w14:paraId="71C2E50C" w14:textId="77777777" w:rsidR="00BF4C1B" w:rsidRDefault="00BF4C1B" w:rsidP="000F4CDF">
            <w:pPr>
              <w:spacing w:after="120" w:line="240" w:lineRule="auto"/>
              <w:rPr>
                <w:b/>
                <w:sz w:val="28"/>
                <w:szCs w:val="28"/>
              </w:rPr>
            </w:pPr>
            <w:r w:rsidRPr="00BF4C1B">
              <w:rPr>
                <w:b/>
                <w:sz w:val="28"/>
                <w:szCs w:val="28"/>
              </w:rPr>
              <w:t>TELLING OUR STORY:</w:t>
            </w:r>
          </w:p>
          <w:p w14:paraId="5D1D6A2A" w14:textId="62BCF9C9" w:rsidR="006344CC" w:rsidRPr="001453C3" w:rsidRDefault="006344CC" w:rsidP="000F4CDF">
            <w:pPr>
              <w:spacing w:after="120" w:line="240" w:lineRule="auto"/>
              <w:rPr>
                <w:sz w:val="24"/>
                <w:szCs w:val="24"/>
              </w:rPr>
            </w:pPr>
            <w:r w:rsidRPr="001453C3">
              <w:rPr>
                <w:sz w:val="24"/>
                <w:szCs w:val="24"/>
              </w:rPr>
              <w:t>2018/19 was the 4</w:t>
            </w:r>
            <w:r w:rsidRPr="001453C3">
              <w:rPr>
                <w:sz w:val="24"/>
                <w:szCs w:val="24"/>
                <w:vertAlign w:val="superscript"/>
              </w:rPr>
              <w:t>th</w:t>
            </w:r>
            <w:r w:rsidRPr="001453C3">
              <w:rPr>
                <w:sz w:val="24"/>
                <w:szCs w:val="24"/>
              </w:rPr>
              <w:t xml:space="preserve"> consecutive year that Teacher absence rates have fallen, and the third in which sickness absence days per teacher in Argyll and Bute was lower than the Scottish average.</w:t>
            </w:r>
          </w:p>
          <w:p w14:paraId="4255B97B" w14:textId="77777777" w:rsidR="004B0D92" w:rsidRPr="005543B2" w:rsidRDefault="004B0D92" w:rsidP="001D6373">
            <w:pPr>
              <w:spacing w:after="0" w:line="240" w:lineRule="auto"/>
              <w:rPr>
                <w:rFonts w:ascii="Arial" w:hAnsi="Arial" w:cs="Arial"/>
                <w:szCs w:val="24"/>
              </w:rPr>
            </w:pPr>
          </w:p>
        </w:tc>
      </w:tr>
      <w:tr w:rsidR="00BF4C1B" w:rsidRPr="00BF4C1B" w14:paraId="3A615DB9" w14:textId="77777777" w:rsidTr="009838CD">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0064AB9B" w14:textId="77777777" w:rsidR="004B0D92" w:rsidRPr="0008221F" w:rsidRDefault="004B0D92" w:rsidP="009A329B">
            <w:pPr>
              <w:spacing w:after="0" w:line="240" w:lineRule="auto"/>
              <w:rPr>
                <w:sz w:val="6"/>
                <w:szCs w:val="6"/>
              </w:rPr>
            </w:pPr>
          </w:p>
          <w:p w14:paraId="311807FD" w14:textId="77777777" w:rsidR="00BF4C1B" w:rsidRPr="0008221F" w:rsidRDefault="00232953" w:rsidP="000F4CDF">
            <w:pPr>
              <w:spacing w:after="120" w:line="240" w:lineRule="auto"/>
              <w:rPr>
                <w:b/>
                <w:sz w:val="28"/>
                <w:szCs w:val="28"/>
              </w:rPr>
            </w:pPr>
            <w:r w:rsidRPr="0008221F">
              <w:rPr>
                <w:b/>
                <w:sz w:val="28"/>
                <w:szCs w:val="28"/>
              </w:rPr>
              <w:t>LOOKING FORWARD - EXPECTED IMPACT ON INDICATOR</w:t>
            </w:r>
            <w:r w:rsidR="00BF4C1B" w:rsidRPr="0008221F">
              <w:rPr>
                <w:b/>
                <w:sz w:val="28"/>
                <w:szCs w:val="28"/>
              </w:rPr>
              <w:t>:</w:t>
            </w:r>
          </w:p>
          <w:p w14:paraId="0393DD09" w14:textId="77777777" w:rsidR="006A3094" w:rsidRPr="006805F1" w:rsidRDefault="006A3094" w:rsidP="000F4CDF">
            <w:pPr>
              <w:spacing w:after="120" w:line="240" w:lineRule="auto"/>
              <w:rPr>
                <w:sz w:val="24"/>
                <w:szCs w:val="24"/>
              </w:rPr>
            </w:pPr>
            <w:r w:rsidRPr="006805F1">
              <w:rPr>
                <w:sz w:val="24"/>
                <w:szCs w:val="24"/>
              </w:rPr>
              <w:t>The council is performing particularly well on this indicator, but it is unlikely that this level of performance will continue to improve. It is anticipated that there may be a drop in future performance, despite the council having a comprehensive attendance management system and supports in place.</w:t>
            </w:r>
          </w:p>
          <w:p w14:paraId="08839114" w14:textId="19CD4FA2" w:rsidR="004B0D92" w:rsidRPr="0008221F" w:rsidRDefault="004B0D92" w:rsidP="00AE78B1">
            <w:pPr>
              <w:spacing w:after="0" w:line="240" w:lineRule="auto"/>
              <w:rPr>
                <w:rFonts w:ascii="Arial" w:hAnsi="Arial" w:cs="Arial"/>
                <w:szCs w:val="24"/>
              </w:rPr>
            </w:pPr>
          </w:p>
        </w:tc>
      </w:tr>
    </w:tbl>
    <w:p w14:paraId="5E793268" w14:textId="77777777" w:rsidR="001D6373" w:rsidRDefault="001D6373">
      <w:r>
        <w:br w:type="page"/>
      </w:r>
    </w:p>
    <w:tbl>
      <w:tblPr>
        <w:tblW w:w="15309" w:type="dxa"/>
        <w:jc w:val="center"/>
        <w:tblLook w:val="04A0" w:firstRow="1" w:lastRow="0" w:firstColumn="1" w:lastColumn="0" w:noHBand="0" w:noVBand="1"/>
      </w:tblPr>
      <w:tblGrid>
        <w:gridCol w:w="5524"/>
        <w:gridCol w:w="1842"/>
        <w:gridCol w:w="6096"/>
        <w:gridCol w:w="1847"/>
      </w:tblGrid>
      <w:tr w:rsidR="006452B6" w:rsidRPr="005D65E6" w14:paraId="1A3469FA" w14:textId="77777777" w:rsidTr="006452B6">
        <w:trPr>
          <w:trHeight w:val="79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2394B019" w14:textId="3F32F25F" w:rsidR="006452B6" w:rsidRPr="005D65E6" w:rsidRDefault="00473295" w:rsidP="00473295">
            <w:pPr>
              <w:rPr>
                <w:b/>
                <w:sz w:val="32"/>
              </w:rPr>
            </w:pPr>
            <w:r>
              <w:rPr>
                <w:b/>
                <w:sz w:val="32"/>
              </w:rPr>
              <w:lastRenderedPageBreak/>
              <w:t>SERVICE: CUSTOMER SUPPORT SERVICES</w:t>
            </w:r>
          </w:p>
        </w:tc>
      </w:tr>
      <w:tr w:rsidR="00BF4C1B" w:rsidRPr="008E3A46" w14:paraId="0EA57555" w14:textId="77777777" w:rsidTr="004B0D92">
        <w:trPr>
          <w:trHeight w:val="567"/>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67D26CD1" w14:textId="77777777" w:rsidR="00BF4C1B" w:rsidRPr="008E3A46" w:rsidRDefault="00BF4C1B" w:rsidP="009A329B">
            <w:pPr>
              <w:pStyle w:val="Heading1"/>
              <w:spacing w:before="0" w:line="240" w:lineRule="auto"/>
              <w:rPr>
                <w:b/>
                <w:color w:val="auto"/>
              </w:rPr>
            </w:pPr>
            <w:bookmarkStart w:id="28" w:name="_Toc56757706"/>
            <w:r w:rsidRPr="008E3A46">
              <w:rPr>
                <w:b/>
                <w:color w:val="auto"/>
              </w:rPr>
              <w:t xml:space="preserve">INDICATOR REF: CORP 6b - Sickness </w:t>
            </w:r>
            <w:r w:rsidR="009C3608" w:rsidRPr="008E3A46">
              <w:rPr>
                <w:b/>
                <w:color w:val="auto"/>
              </w:rPr>
              <w:t>absence days per employee (non-teacher)</w:t>
            </w:r>
            <w:bookmarkEnd w:id="28"/>
            <w:r w:rsidR="00CA7DF1" w:rsidRPr="008E3A46">
              <w:rPr>
                <w:b/>
                <w:color w:val="auto"/>
              </w:rPr>
              <w:t xml:space="preserve"> </w:t>
            </w:r>
          </w:p>
        </w:tc>
      </w:tr>
      <w:tr w:rsidR="008F2E9A" w:rsidRPr="00BF4C1B" w14:paraId="2A5397FA" w14:textId="77777777" w:rsidTr="004B0D92">
        <w:trPr>
          <w:trHeight w:val="45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7C92E477" w14:textId="27FF7492" w:rsidR="008F2E9A" w:rsidRPr="00525319" w:rsidRDefault="008F2E9A" w:rsidP="001B693A">
            <w:pPr>
              <w:spacing w:after="0" w:line="240" w:lineRule="auto"/>
              <w:jc w:val="center"/>
              <w:rPr>
                <w:b/>
                <w:color w:val="0070C0"/>
                <w:sz w:val="28"/>
                <w:szCs w:val="28"/>
              </w:rPr>
            </w:pPr>
            <w:r w:rsidRPr="00C577BD">
              <w:rPr>
                <w:b/>
                <w:color w:val="0070C0"/>
                <w:sz w:val="28"/>
                <w:szCs w:val="28"/>
              </w:rPr>
              <w:t>Performance Range:</w:t>
            </w:r>
            <w:r w:rsidR="00525319" w:rsidRPr="004C7782">
              <w:rPr>
                <w:b/>
                <w:color w:val="0070C0"/>
                <w:sz w:val="28"/>
                <w:szCs w:val="28"/>
              </w:rPr>
              <w:t xml:space="preserve"> </w:t>
            </w:r>
            <w:r w:rsidR="001B693A">
              <w:rPr>
                <w:b/>
                <w:color w:val="0070C0"/>
                <w:sz w:val="28"/>
                <w:szCs w:val="28"/>
              </w:rPr>
              <w:t>8.84</w:t>
            </w:r>
            <w:r w:rsidR="0012644F">
              <w:rPr>
                <w:b/>
                <w:color w:val="0070C0"/>
                <w:sz w:val="28"/>
                <w:szCs w:val="28"/>
              </w:rPr>
              <w:t xml:space="preserve"> to </w:t>
            </w:r>
            <w:r w:rsidR="001B693A">
              <w:rPr>
                <w:b/>
                <w:color w:val="0070C0"/>
                <w:sz w:val="28"/>
                <w:szCs w:val="28"/>
              </w:rPr>
              <w:t>15.02</w:t>
            </w:r>
            <w:r w:rsidR="005E2139">
              <w:rPr>
                <w:b/>
                <w:color w:val="0070C0"/>
                <w:sz w:val="28"/>
                <w:szCs w:val="28"/>
              </w:rPr>
              <w:t xml:space="preserve"> </w:t>
            </w:r>
            <w:r w:rsidR="00525319">
              <w:rPr>
                <w:b/>
                <w:color w:val="0070C0"/>
                <w:sz w:val="28"/>
                <w:szCs w:val="28"/>
              </w:rPr>
              <w:t xml:space="preserve"> </w:t>
            </w:r>
            <w:r w:rsidR="00BE08CC" w:rsidRPr="00BE08CC">
              <w:rPr>
                <w:b/>
                <w:color w:val="0070C0"/>
                <w:sz w:val="28"/>
                <w:szCs w:val="28"/>
              </w:rPr>
              <w:t>(Lowest is best)</w:t>
            </w:r>
          </w:p>
        </w:tc>
      </w:tr>
      <w:tr w:rsidR="00BF4C1B" w:rsidRPr="00BF4C1B" w14:paraId="3CC3174E" w14:textId="77777777" w:rsidTr="00E83409">
        <w:trPr>
          <w:trHeight w:val="397"/>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3FA1747" w14:textId="77777777" w:rsidR="00BF4C1B" w:rsidRPr="00BF4C1B" w:rsidRDefault="00BF4C1B" w:rsidP="009A329B">
            <w:pPr>
              <w:spacing w:after="0" w:line="240" w:lineRule="auto"/>
              <w:jc w:val="center"/>
              <w:rPr>
                <w:b/>
                <w:sz w:val="28"/>
                <w:szCs w:val="28"/>
              </w:rPr>
            </w:pPr>
            <w:r w:rsidRPr="00BF4C1B">
              <w:rPr>
                <w:b/>
                <w:sz w:val="28"/>
                <w:szCs w:val="28"/>
              </w:rPr>
              <w:t>ARGYLL AND BUTE</w:t>
            </w:r>
          </w:p>
        </w:tc>
        <w:tc>
          <w:tcPr>
            <w:tcW w:w="7943"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C5BE73F" w14:textId="77777777" w:rsidR="00BF4C1B" w:rsidRPr="00BF4C1B" w:rsidRDefault="00BF4C1B" w:rsidP="009A329B">
            <w:pPr>
              <w:spacing w:after="0" w:line="240" w:lineRule="auto"/>
              <w:jc w:val="center"/>
              <w:rPr>
                <w:b/>
                <w:sz w:val="28"/>
                <w:szCs w:val="28"/>
              </w:rPr>
            </w:pPr>
            <w:r w:rsidRPr="00BF4C1B">
              <w:rPr>
                <w:b/>
                <w:sz w:val="28"/>
                <w:szCs w:val="28"/>
              </w:rPr>
              <w:t>SCOTLAND</w:t>
            </w:r>
          </w:p>
        </w:tc>
      </w:tr>
      <w:tr w:rsidR="00BF4C1B" w:rsidRPr="00BF4C1B" w14:paraId="4D3D65E9" w14:textId="77777777" w:rsidTr="004B0D92">
        <w:trPr>
          <w:trHeight w:val="397"/>
          <w:jc w:val="center"/>
        </w:trPr>
        <w:tc>
          <w:tcPr>
            <w:tcW w:w="7366" w:type="dxa"/>
            <w:gridSpan w:val="2"/>
            <w:tcBorders>
              <w:top w:val="single" w:sz="4" w:space="0" w:color="auto"/>
              <w:left w:val="single" w:sz="4" w:space="0" w:color="auto"/>
              <w:bottom w:val="single" w:sz="4" w:space="0" w:color="auto"/>
              <w:right w:val="single" w:sz="4" w:space="0" w:color="auto"/>
            </w:tcBorders>
            <w:vAlign w:val="center"/>
          </w:tcPr>
          <w:p w14:paraId="2361E6C0" w14:textId="7ECF7387" w:rsidR="00BF4C1B" w:rsidRPr="0068094B" w:rsidRDefault="001B693A" w:rsidP="009A329B">
            <w:pPr>
              <w:spacing w:after="0" w:line="240" w:lineRule="auto"/>
              <w:jc w:val="center"/>
              <w:rPr>
                <w:b/>
                <w:sz w:val="28"/>
                <w:szCs w:val="28"/>
              </w:rPr>
            </w:pPr>
            <w:r>
              <w:rPr>
                <w:b/>
                <w:sz w:val="28"/>
                <w:szCs w:val="28"/>
              </w:rPr>
              <w:t>14.01</w:t>
            </w:r>
          </w:p>
        </w:tc>
        <w:tc>
          <w:tcPr>
            <w:tcW w:w="7943" w:type="dxa"/>
            <w:gridSpan w:val="2"/>
            <w:tcBorders>
              <w:top w:val="single" w:sz="4" w:space="0" w:color="auto"/>
              <w:left w:val="single" w:sz="4" w:space="0" w:color="auto"/>
              <w:bottom w:val="single" w:sz="4" w:space="0" w:color="auto"/>
              <w:right w:val="single" w:sz="4" w:space="0" w:color="auto"/>
            </w:tcBorders>
            <w:vAlign w:val="center"/>
          </w:tcPr>
          <w:p w14:paraId="7DDE1E4D" w14:textId="39F5F2E4" w:rsidR="00BF4C1B" w:rsidRPr="00BF4C1B" w:rsidRDefault="001B693A" w:rsidP="009A329B">
            <w:pPr>
              <w:tabs>
                <w:tab w:val="left" w:pos="2617"/>
              </w:tabs>
              <w:spacing w:after="0" w:line="240" w:lineRule="auto"/>
              <w:jc w:val="center"/>
              <w:rPr>
                <w:b/>
                <w:sz w:val="28"/>
                <w:szCs w:val="28"/>
              </w:rPr>
            </w:pPr>
            <w:r>
              <w:rPr>
                <w:b/>
                <w:sz w:val="28"/>
                <w:szCs w:val="28"/>
              </w:rPr>
              <w:t>11.49</w:t>
            </w:r>
          </w:p>
        </w:tc>
      </w:tr>
      <w:tr w:rsidR="002A7D10" w:rsidRPr="00BF4C1B" w14:paraId="77BBBB38" w14:textId="77777777" w:rsidTr="004B0D92">
        <w:trPr>
          <w:trHeight w:val="397"/>
          <w:jc w:val="center"/>
        </w:trPr>
        <w:tc>
          <w:tcPr>
            <w:tcW w:w="5524" w:type="dxa"/>
            <w:tcBorders>
              <w:top w:val="single" w:sz="4" w:space="0" w:color="auto"/>
              <w:left w:val="single" w:sz="4" w:space="0" w:color="auto"/>
              <w:bottom w:val="single" w:sz="4" w:space="0" w:color="auto"/>
              <w:right w:val="single" w:sz="4" w:space="0" w:color="auto"/>
            </w:tcBorders>
            <w:vAlign w:val="center"/>
          </w:tcPr>
          <w:p w14:paraId="477B71E3" w14:textId="07FB6122" w:rsidR="002A7D10" w:rsidRPr="0068094B" w:rsidRDefault="002A7D10" w:rsidP="001D6373">
            <w:pPr>
              <w:spacing w:after="0" w:line="240" w:lineRule="auto"/>
              <w:jc w:val="center"/>
              <w:rPr>
                <w:b/>
                <w:sz w:val="28"/>
                <w:szCs w:val="28"/>
              </w:rPr>
            </w:pPr>
            <w:r w:rsidRPr="0068094B">
              <w:rPr>
                <w:b/>
                <w:sz w:val="28"/>
                <w:szCs w:val="28"/>
              </w:rPr>
              <w:t>CHANGE 201</w:t>
            </w:r>
            <w:r w:rsidR="001D6373">
              <w:rPr>
                <w:b/>
                <w:sz w:val="28"/>
                <w:szCs w:val="28"/>
              </w:rPr>
              <w:t>7</w:t>
            </w:r>
            <w:r w:rsidRPr="0068094B">
              <w:rPr>
                <w:b/>
                <w:sz w:val="28"/>
                <w:szCs w:val="28"/>
              </w:rPr>
              <w:t>/1</w:t>
            </w:r>
            <w:r w:rsidR="001D6373">
              <w:rPr>
                <w:b/>
                <w:sz w:val="28"/>
                <w:szCs w:val="28"/>
              </w:rPr>
              <w:t>8</w:t>
            </w:r>
            <w:r w:rsidRPr="0068094B">
              <w:rPr>
                <w:b/>
                <w:sz w:val="28"/>
                <w:szCs w:val="28"/>
              </w:rPr>
              <w:t xml:space="preserve"> TO 201</w:t>
            </w:r>
            <w:r w:rsidR="001D6373">
              <w:rPr>
                <w:b/>
                <w:sz w:val="28"/>
                <w:szCs w:val="28"/>
              </w:rPr>
              <w:t>8</w:t>
            </w:r>
            <w:r w:rsidRPr="0068094B">
              <w:rPr>
                <w:b/>
                <w:sz w:val="28"/>
                <w:szCs w:val="28"/>
              </w:rPr>
              <w:t>/1</w:t>
            </w:r>
            <w:r w:rsidR="001D6373">
              <w:rPr>
                <w:b/>
                <w:sz w:val="28"/>
                <w:szCs w:val="28"/>
              </w:rPr>
              <w:t>9</w:t>
            </w:r>
          </w:p>
        </w:tc>
        <w:tc>
          <w:tcPr>
            <w:tcW w:w="1842" w:type="dxa"/>
            <w:tcBorders>
              <w:top w:val="single" w:sz="4" w:space="0" w:color="auto"/>
              <w:left w:val="single" w:sz="4" w:space="0" w:color="auto"/>
              <w:bottom w:val="single" w:sz="4" w:space="0" w:color="auto"/>
              <w:right w:val="single" w:sz="4" w:space="0" w:color="auto"/>
            </w:tcBorders>
            <w:vAlign w:val="center"/>
          </w:tcPr>
          <w:p w14:paraId="65CCEDED" w14:textId="6C4E30BE" w:rsidR="002A7D10" w:rsidRPr="0068094B" w:rsidRDefault="002D7CDB" w:rsidP="009A329B">
            <w:pPr>
              <w:spacing w:after="0" w:line="240" w:lineRule="auto"/>
              <w:jc w:val="center"/>
              <w:rPr>
                <w:b/>
                <w:sz w:val="28"/>
                <w:szCs w:val="28"/>
              </w:rPr>
            </w:pPr>
            <w:r>
              <w:rPr>
                <w:b/>
                <w:sz w:val="28"/>
                <w:szCs w:val="28"/>
              </w:rPr>
              <w:t>9</w:t>
            </w:r>
            <w:r w:rsidR="001B693A">
              <w:rPr>
                <w:b/>
                <w:sz w:val="28"/>
                <w:szCs w:val="28"/>
              </w:rPr>
              <w:t>.27</w:t>
            </w:r>
            <w:r w:rsidR="001D6373" w:rsidRPr="009003C7">
              <w:rPr>
                <w:b/>
                <w:sz w:val="28"/>
                <w:szCs w:val="28"/>
              </w:rPr>
              <w:t>%</w:t>
            </w:r>
            <w:r w:rsidR="009003C7">
              <w:rPr>
                <w:b/>
                <w:sz w:val="28"/>
                <w:szCs w:val="28"/>
              </w:rPr>
              <w:t xml:space="preserve"> </w:t>
            </w:r>
            <w:r w:rsidR="009003C7" w:rsidRPr="00C14931">
              <w:rPr>
                <w:b/>
                <w:color w:val="FF0000"/>
                <w:sz w:val="28"/>
                <w:szCs w:val="28"/>
              </w:rPr>
              <w:sym w:font="Wingdings" w:char="F0E9"/>
            </w:r>
          </w:p>
        </w:tc>
        <w:tc>
          <w:tcPr>
            <w:tcW w:w="6096" w:type="dxa"/>
            <w:tcBorders>
              <w:top w:val="single" w:sz="4" w:space="0" w:color="auto"/>
              <w:left w:val="single" w:sz="4" w:space="0" w:color="auto"/>
              <w:bottom w:val="single" w:sz="4" w:space="0" w:color="auto"/>
              <w:right w:val="single" w:sz="4" w:space="0" w:color="auto"/>
            </w:tcBorders>
            <w:vAlign w:val="center"/>
          </w:tcPr>
          <w:p w14:paraId="01D07C7C" w14:textId="1166A7B9" w:rsidR="002A7D10" w:rsidRPr="00BF4C1B" w:rsidRDefault="002A7D10" w:rsidP="001D6373">
            <w:pPr>
              <w:spacing w:after="0" w:line="240" w:lineRule="auto"/>
              <w:jc w:val="center"/>
              <w:rPr>
                <w:sz w:val="28"/>
                <w:szCs w:val="28"/>
              </w:rPr>
            </w:pPr>
            <w:r>
              <w:rPr>
                <w:sz w:val="28"/>
                <w:szCs w:val="28"/>
              </w:rPr>
              <w:t>CHANGE 201</w:t>
            </w:r>
            <w:r w:rsidR="001D6373">
              <w:rPr>
                <w:sz w:val="28"/>
                <w:szCs w:val="28"/>
              </w:rPr>
              <w:t>7</w:t>
            </w:r>
            <w:r>
              <w:rPr>
                <w:sz w:val="28"/>
                <w:szCs w:val="28"/>
              </w:rPr>
              <w:t>/1</w:t>
            </w:r>
            <w:r w:rsidR="001D6373">
              <w:rPr>
                <w:sz w:val="28"/>
                <w:szCs w:val="28"/>
              </w:rPr>
              <w:t>8</w:t>
            </w:r>
            <w:r>
              <w:rPr>
                <w:sz w:val="28"/>
                <w:szCs w:val="28"/>
              </w:rPr>
              <w:t xml:space="preserve"> TO 201</w:t>
            </w:r>
            <w:r w:rsidR="001D6373">
              <w:rPr>
                <w:sz w:val="28"/>
                <w:szCs w:val="28"/>
              </w:rPr>
              <w:t>8</w:t>
            </w:r>
            <w:r>
              <w:rPr>
                <w:sz w:val="28"/>
                <w:szCs w:val="28"/>
              </w:rPr>
              <w:t>/1</w:t>
            </w:r>
            <w:r w:rsidR="001D6373">
              <w:rPr>
                <w:sz w:val="28"/>
                <w:szCs w:val="28"/>
              </w:rPr>
              <w:t>9</w:t>
            </w:r>
          </w:p>
        </w:tc>
        <w:tc>
          <w:tcPr>
            <w:tcW w:w="1847" w:type="dxa"/>
            <w:tcBorders>
              <w:top w:val="single" w:sz="4" w:space="0" w:color="auto"/>
              <w:left w:val="single" w:sz="4" w:space="0" w:color="auto"/>
              <w:bottom w:val="single" w:sz="4" w:space="0" w:color="auto"/>
              <w:right w:val="single" w:sz="4" w:space="0" w:color="auto"/>
            </w:tcBorders>
            <w:vAlign w:val="center"/>
          </w:tcPr>
          <w:p w14:paraId="36445D4A" w14:textId="5EAA7EB8" w:rsidR="002A7D10" w:rsidRPr="001B693A" w:rsidRDefault="009003C7" w:rsidP="009A329B">
            <w:pPr>
              <w:tabs>
                <w:tab w:val="left" w:pos="2617"/>
              </w:tabs>
              <w:spacing w:after="0" w:line="240" w:lineRule="auto"/>
              <w:jc w:val="center"/>
              <w:rPr>
                <w:b/>
                <w:sz w:val="28"/>
                <w:szCs w:val="28"/>
                <w:highlight w:val="yellow"/>
              </w:rPr>
            </w:pPr>
            <w:r>
              <w:rPr>
                <w:sz w:val="28"/>
                <w:szCs w:val="28"/>
              </w:rPr>
              <w:t>0.71</w:t>
            </w:r>
            <w:r w:rsidR="001D6373" w:rsidRPr="009003C7">
              <w:rPr>
                <w:sz w:val="28"/>
                <w:szCs w:val="28"/>
              </w:rPr>
              <w:t>%</w:t>
            </w:r>
            <w:r>
              <w:rPr>
                <w:sz w:val="28"/>
                <w:szCs w:val="28"/>
              </w:rPr>
              <w:t xml:space="preserve"> </w:t>
            </w:r>
            <w:r w:rsidRPr="00C14931">
              <w:rPr>
                <w:b/>
                <w:color w:val="FF0000"/>
                <w:sz w:val="28"/>
                <w:szCs w:val="28"/>
              </w:rPr>
              <w:sym w:font="Wingdings" w:char="F0E9"/>
            </w:r>
          </w:p>
        </w:tc>
      </w:tr>
      <w:tr w:rsidR="002A7D10" w:rsidRPr="00BF4C1B" w14:paraId="53BAFBC7" w14:textId="77777777" w:rsidTr="004B0D92">
        <w:trPr>
          <w:trHeight w:val="397"/>
          <w:jc w:val="center"/>
        </w:trPr>
        <w:tc>
          <w:tcPr>
            <w:tcW w:w="5524" w:type="dxa"/>
            <w:tcBorders>
              <w:top w:val="single" w:sz="4" w:space="0" w:color="auto"/>
              <w:left w:val="single" w:sz="4" w:space="0" w:color="auto"/>
              <w:bottom w:val="single" w:sz="4" w:space="0" w:color="auto"/>
              <w:right w:val="single" w:sz="4" w:space="0" w:color="auto"/>
            </w:tcBorders>
            <w:vAlign w:val="center"/>
          </w:tcPr>
          <w:p w14:paraId="780A544B" w14:textId="51CA0EE5" w:rsidR="002A7D10" w:rsidRPr="0068094B" w:rsidRDefault="002A7D10" w:rsidP="001D6373">
            <w:pPr>
              <w:spacing w:after="0" w:line="240" w:lineRule="auto"/>
              <w:jc w:val="center"/>
              <w:rPr>
                <w:b/>
                <w:sz w:val="28"/>
                <w:szCs w:val="28"/>
              </w:rPr>
            </w:pPr>
            <w:r w:rsidRPr="0068094B">
              <w:rPr>
                <w:b/>
                <w:sz w:val="28"/>
                <w:szCs w:val="28"/>
              </w:rPr>
              <w:t>CHANGE BASE YEAR TO 201</w:t>
            </w:r>
            <w:r w:rsidR="001D6373">
              <w:rPr>
                <w:b/>
                <w:sz w:val="28"/>
                <w:szCs w:val="28"/>
              </w:rPr>
              <w:t>8</w:t>
            </w:r>
            <w:r w:rsidRPr="0068094B">
              <w:rPr>
                <w:b/>
                <w:sz w:val="28"/>
                <w:szCs w:val="28"/>
              </w:rPr>
              <w:t>/1</w:t>
            </w:r>
            <w:r w:rsidR="001D6373">
              <w:rPr>
                <w:b/>
                <w:sz w:val="28"/>
                <w:szCs w:val="28"/>
              </w:rPr>
              <w:t>9</w:t>
            </w:r>
          </w:p>
        </w:tc>
        <w:tc>
          <w:tcPr>
            <w:tcW w:w="1842" w:type="dxa"/>
            <w:tcBorders>
              <w:top w:val="single" w:sz="4" w:space="0" w:color="auto"/>
              <w:left w:val="single" w:sz="4" w:space="0" w:color="auto"/>
              <w:bottom w:val="single" w:sz="4" w:space="0" w:color="auto"/>
              <w:right w:val="single" w:sz="4" w:space="0" w:color="auto"/>
            </w:tcBorders>
            <w:vAlign w:val="center"/>
          </w:tcPr>
          <w:p w14:paraId="3F50B250" w14:textId="31E4FF5B" w:rsidR="002A7D10" w:rsidRPr="0068094B" w:rsidRDefault="001B693A" w:rsidP="009A329B">
            <w:pPr>
              <w:spacing w:after="0" w:line="240" w:lineRule="auto"/>
              <w:jc w:val="center"/>
              <w:rPr>
                <w:b/>
                <w:sz w:val="28"/>
                <w:szCs w:val="28"/>
              </w:rPr>
            </w:pPr>
            <w:r>
              <w:rPr>
                <w:b/>
                <w:sz w:val="28"/>
                <w:szCs w:val="28"/>
              </w:rPr>
              <w:t>39.6</w:t>
            </w:r>
            <w:r w:rsidR="001D6373" w:rsidRPr="009003C7">
              <w:rPr>
                <w:b/>
                <w:sz w:val="28"/>
                <w:szCs w:val="28"/>
              </w:rPr>
              <w:t>%</w:t>
            </w:r>
            <w:r w:rsidR="009003C7">
              <w:rPr>
                <w:b/>
                <w:sz w:val="28"/>
                <w:szCs w:val="28"/>
              </w:rPr>
              <w:t xml:space="preserve"> </w:t>
            </w:r>
            <w:r w:rsidR="009003C7" w:rsidRPr="00C14931">
              <w:rPr>
                <w:b/>
                <w:color w:val="FF0000"/>
                <w:sz w:val="28"/>
                <w:szCs w:val="28"/>
              </w:rPr>
              <w:sym w:font="Wingdings" w:char="F0E9"/>
            </w:r>
          </w:p>
        </w:tc>
        <w:tc>
          <w:tcPr>
            <w:tcW w:w="6096" w:type="dxa"/>
            <w:tcBorders>
              <w:top w:val="single" w:sz="4" w:space="0" w:color="auto"/>
              <w:left w:val="single" w:sz="4" w:space="0" w:color="auto"/>
              <w:bottom w:val="single" w:sz="4" w:space="0" w:color="auto"/>
              <w:right w:val="single" w:sz="4" w:space="0" w:color="auto"/>
            </w:tcBorders>
            <w:vAlign w:val="center"/>
          </w:tcPr>
          <w:p w14:paraId="15D584A7" w14:textId="2A3D2D30" w:rsidR="002A7D10" w:rsidRPr="00BF4C1B" w:rsidRDefault="002A7D10" w:rsidP="001D6373">
            <w:pPr>
              <w:spacing w:after="0" w:line="240" w:lineRule="auto"/>
              <w:jc w:val="center"/>
              <w:rPr>
                <w:sz w:val="28"/>
                <w:szCs w:val="28"/>
              </w:rPr>
            </w:pPr>
            <w:r>
              <w:rPr>
                <w:sz w:val="28"/>
                <w:szCs w:val="28"/>
              </w:rPr>
              <w:t>CHANGE BASE YEAR TO 201</w:t>
            </w:r>
            <w:r w:rsidR="001D6373">
              <w:rPr>
                <w:sz w:val="28"/>
                <w:szCs w:val="28"/>
              </w:rPr>
              <w:t>8</w:t>
            </w:r>
            <w:r>
              <w:rPr>
                <w:sz w:val="28"/>
                <w:szCs w:val="28"/>
              </w:rPr>
              <w:t>/1</w:t>
            </w:r>
            <w:r w:rsidR="001D6373">
              <w:rPr>
                <w:sz w:val="28"/>
                <w:szCs w:val="28"/>
              </w:rPr>
              <w:t>9</w:t>
            </w:r>
          </w:p>
        </w:tc>
        <w:tc>
          <w:tcPr>
            <w:tcW w:w="1847" w:type="dxa"/>
            <w:tcBorders>
              <w:top w:val="single" w:sz="4" w:space="0" w:color="auto"/>
              <w:left w:val="single" w:sz="4" w:space="0" w:color="auto"/>
              <w:bottom w:val="single" w:sz="4" w:space="0" w:color="auto"/>
              <w:right w:val="single" w:sz="4" w:space="0" w:color="auto"/>
            </w:tcBorders>
            <w:vAlign w:val="center"/>
          </w:tcPr>
          <w:p w14:paraId="3B4EA920" w14:textId="2FC3BE19" w:rsidR="002A7D10" w:rsidRPr="009003C7" w:rsidRDefault="009003C7" w:rsidP="009003C7">
            <w:pPr>
              <w:tabs>
                <w:tab w:val="left" w:pos="2617"/>
              </w:tabs>
              <w:spacing w:after="0" w:line="240" w:lineRule="auto"/>
              <w:jc w:val="center"/>
              <w:rPr>
                <w:sz w:val="28"/>
                <w:szCs w:val="28"/>
              </w:rPr>
            </w:pPr>
            <w:r>
              <w:rPr>
                <w:sz w:val="28"/>
                <w:szCs w:val="28"/>
              </w:rPr>
              <w:t>6.44</w:t>
            </w:r>
            <w:r w:rsidR="001D6373" w:rsidRPr="009003C7">
              <w:rPr>
                <w:sz w:val="28"/>
                <w:szCs w:val="28"/>
              </w:rPr>
              <w:t>%</w:t>
            </w:r>
            <w:r>
              <w:rPr>
                <w:sz w:val="28"/>
                <w:szCs w:val="28"/>
              </w:rPr>
              <w:t xml:space="preserve"> </w:t>
            </w:r>
            <w:r w:rsidRPr="00C14931">
              <w:rPr>
                <w:b/>
                <w:color w:val="FF0000"/>
                <w:sz w:val="28"/>
                <w:szCs w:val="28"/>
              </w:rPr>
              <w:sym w:font="Wingdings" w:char="F0E9"/>
            </w:r>
          </w:p>
        </w:tc>
      </w:tr>
      <w:tr w:rsidR="0068094B" w:rsidRPr="00BF4C1B" w14:paraId="46A9002F" w14:textId="77777777" w:rsidTr="00B318EA">
        <w:trPr>
          <w:trHeight w:val="397"/>
          <w:jc w:val="center"/>
        </w:trPr>
        <w:tc>
          <w:tcPr>
            <w:tcW w:w="7366" w:type="dxa"/>
            <w:gridSpan w:val="2"/>
            <w:tcBorders>
              <w:top w:val="single" w:sz="4" w:space="0" w:color="auto"/>
              <w:left w:val="single" w:sz="4" w:space="0" w:color="auto"/>
              <w:bottom w:val="single" w:sz="4" w:space="0" w:color="auto"/>
              <w:right w:val="single" w:sz="4" w:space="0" w:color="auto"/>
            </w:tcBorders>
            <w:vAlign w:val="center"/>
          </w:tcPr>
          <w:p w14:paraId="4759E240" w14:textId="5A122D45" w:rsidR="0068094B" w:rsidRPr="0068094B" w:rsidRDefault="0068094B" w:rsidP="001D6373">
            <w:pPr>
              <w:spacing w:after="0" w:line="240" w:lineRule="auto"/>
              <w:jc w:val="center"/>
              <w:rPr>
                <w:b/>
                <w:sz w:val="28"/>
                <w:szCs w:val="28"/>
              </w:rPr>
            </w:pPr>
            <w:r w:rsidRPr="0068094B">
              <w:rPr>
                <w:b/>
                <w:sz w:val="28"/>
                <w:szCs w:val="28"/>
              </w:rPr>
              <w:t>RANK POSITION:</w:t>
            </w:r>
            <w:r w:rsidR="00513443" w:rsidRPr="001B693A">
              <w:rPr>
                <w:b/>
                <w:sz w:val="28"/>
                <w:szCs w:val="28"/>
              </w:rPr>
              <w:t xml:space="preserve">  </w:t>
            </w:r>
            <w:r w:rsidR="001B693A">
              <w:rPr>
                <w:b/>
                <w:sz w:val="28"/>
                <w:szCs w:val="28"/>
              </w:rPr>
              <w:t>30</w:t>
            </w:r>
            <w:r w:rsidR="00513443" w:rsidRPr="001B693A">
              <w:rPr>
                <w:b/>
                <w:sz w:val="28"/>
                <w:szCs w:val="28"/>
              </w:rPr>
              <w:t xml:space="preserve">  </w:t>
            </w:r>
            <w:r w:rsidRPr="0068094B">
              <w:rPr>
                <w:b/>
                <w:sz w:val="28"/>
                <w:szCs w:val="28"/>
              </w:rPr>
              <w:t xml:space="preserve">RANK MOVEMENT: </w:t>
            </w:r>
            <w:r w:rsidR="001B693A">
              <w:rPr>
                <w:b/>
                <w:sz w:val="28"/>
                <w:szCs w:val="28"/>
              </w:rPr>
              <w:t>-1</w:t>
            </w:r>
            <w:r w:rsidR="009003C7">
              <w:rPr>
                <w:b/>
                <w:sz w:val="28"/>
                <w:szCs w:val="28"/>
              </w:rPr>
              <w:t xml:space="preserve"> </w:t>
            </w:r>
            <w:r w:rsidR="009003C7" w:rsidRPr="00C14931">
              <w:rPr>
                <w:b/>
                <w:color w:val="FF0000"/>
                <w:sz w:val="28"/>
                <w:szCs w:val="28"/>
              </w:rPr>
              <w:sym w:font="Wingdings" w:char="F0EA"/>
            </w:r>
          </w:p>
        </w:tc>
        <w:tc>
          <w:tcPr>
            <w:tcW w:w="794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5E498CBC" w14:textId="77777777" w:rsidR="0068094B" w:rsidRPr="00BF4C1B" w:rsidRDefault="0068094B" w:rsidP="009A329B">
            <w:pPr>
              <w:spacing w:after="0" w:line="240" w:lineRule="auto"/>
              <w:rPr>
                <w:sz w:val="28"/>
                <w:szCs w:val="28"/>
              </w:rPr>
            </w:pPr>
          </w:p>
        </w:tc>
      </w:tr>
      <w:tr w:rsidR="008E3A46" w:rsidRPr="00BF4C1B" w14:paraId="59879F98" w14:textId="77777777" w:rsidTr="00B318EA">
        <w:trPr>
          <w:trHeight w:val="397"/>
          <w:jc w:val="center"/>
        </w:trPr>
        <w:tc>
          <w:tcPr>
            <w:tcW w:w="7366"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5C78D687" w14:textId="77777777" w:rsidR="008E3A46" w:rsidRPr="0068094B" w:rsidRDefault="008E3A46" w:rsidP="004B0D92">
            <w:pPr>
              <w:spacing w:after="0" w:line="240" w:lineRule="auto"/>
              <w:jc w:val="center"/>
              <w:rPr>
                <w:b/>
                <w:sz w:val="28"/>
                <w:szCs w:val="28"/>
              </w:rPr>
            </w:pPr>
            <w:r>
              <w:rPr>
                <w:b/>
                <w:sz w:val="28"/>
                <w:szCs w:val="28"/>
              </w:rPr>
              <w:t>FAMILY GROUP RANK</w:t>
            </w:r>
            <w:r w:rsidR="004B0D92">
              <w:rPr>
                <w:b/>
                <w:sz w:val="28"/>
                <w:szCs w:val="28"/>
              </w:rPr>
              <w:t>ING</w:t>
            </w:r>
          </w:p>
        </w:tc>
        <w:tc>
          <w:tcPr>
            <w:tcW w:w="7943" w:type="dxa"/>
            <w:gridSpan w:val="2"/>
            <w:tcBorders>
              <w:left w:val="single" w:sz="4" w:space="0" w:color="auto"/>
              <w:right w:val="single" w:sz="4" w:space="0" w:color="auto"/>
            </w:tcBorders>
            <w:shd w:val="clear" w:color="auto" w:fill="D9D9D9" w:themeFill="background1" w:themeFillShade="D9"/>
            <w:vAlign w:val="center"/>
          </w:tcPr>
          <w:p w14:paraId="22CACF83" w14:textId="77777777" w:rsidR="008E3A46" w:rsidRPr="00BF4C1B" w:rsidRDefault="008E3A46" w:rsidP="009A329B">
            <w:pPr>
              <w:spacing w:after="0" w:line="240" w:lineRule="auto"/>
              <w:rPr>
                <w:sz w:val="28"/>
                <w:szCs w:val="28"/>
              </w:rPr>
            </w:pPr>
          </w:p>
        </w:tc>
      </w:tr>
      <w:tr w:rsidR="004B0D92" w:rsidRPr="00BF4C1B" w14:paraId="75BD8B99" w14:textId="77777777" w:rsidTr="00B318EA">
        <w:trPr>
          <w:trHeight w:val="397"/>
          <w:jc w:val="center"/>
        </w:trPr>
        <w:tc>
          <w:tcPr>
            <w:tcW w:w="7366" w:type="dxa"/>
            <w:gridSpan w:val="2"/>
            <w:tcBorders>
              <w:left w:val="single" w:sz="4" w:space="0" w:color="auto"/>
              <w:bottom w:val="single" w:sz="4" w:space="0" w:color="auto"/>
              <w:right w:val="single" w:sz="4" w:space="0" w:color="auto"/>
            </w:tcBorders>
            <w:shd w:val="clear" w:color="auto" w:fill="D9E2F3" w:themeFill="accent5" w:themeFillTint="33"/>
            <w:vAlign w:val="center"/>
          </w:tcPr>
          <w:p w14:paraId="43025D3D" w14:textId="235FF53A" w:rsidR="004B0D92" w:rsidRDefault="004B0D92" w:rsidP="001D6373">
            <w:pPr>
              <w:spacing w:after="0" w:line="240" w:lineRule="auto"/>
              <w:jc w:val="center"/>
              <w:rPr>
                <w:b/>
                <w:sz w:val="28"/>
                <w:szCs w:val="28"/>
              </w:rPr>
            </w:pPr>
            <w:r>
              <w:rPr>
                <w:b/>
                <w:sz w:val="28"/>
                <w:szCs w:val="28"/>
              </w:rPr>
              <w:t>RANK POSITION:</w:t>
            </w:r>
            <w:r w:rsidR="00FD1CF1">
              <w:rPr>
                <w:b/>
                <w:sz w:val="28"/>
                <w:szCs w:val="28"/>
              </w:rPr>
              <w:t xml:space="preserve">  </w:t>
            </w:r>
            <w:r w:rsidR="001B693A">
              <w:rPr>
                <w:b/>
                <w:sz w:val="28"/>
                <w:szCs w:val="28"/>
              </w:rPr>
              <w:t>8</w:t>
            </w:r>
            <w:r w:rsidR="00FD1CF1">
              <w:rPr>
                <w:b/>
                <w:sz w:val="28"/>
                <w:szCs w:val="28"/>
              </w:rPr>
              <w:t xml:space="preserve">  </w:t>
            </w:r>
            <w:r>
              <w:rPr>
                <w:b/>
                <w:sz w:val="28"/>
                <w:szCs w:val="28"/>
              </w:rPr>
              <w:t xml:space="preserve">RANK MOVEMENT: </w:t>
            </w:r>
            <w:r w:rsidR="001B693A">
              <w:rPr>
                <w:b/>
                <w:sz w:val="28"/>
                <w:szCs w:val="28"/>
              </w:rPr>
              <w:t>0</w:t>
            </w:r>
            <w:r w:rsidR="009003C7">
              <w:rPr>
                <w:b/>
                <w:sz w:val="28"/>
                <w:szCs w:val="28"/>
              </w:rPr>
              <w:t xml:space="preserve"> </w:t>
            </w:r>
            <w:r w:rsidR="009003C7" w:rsidRPr="00A83E3B">
              <w:rPr>
                <w:b/>
                <w:color w:val="0070C0"/>
                <w:sz w:val="28"/>
                <w:szCs w:val="28"/>
              </w:rPr>
              <w:sym w:font="Wingdings" w:char="F0E8"/>
            </w:r>
          </w:p>
        </w:tc>
        <w:tc>
          <w:tcPr>
            <w:tcW w:w="7943"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4CBFD0E4" w14:textId="77777777" w:rsidR="004B0D92" w:rsidRPr="00BF4C1B" w:rsidRDefault="004B0D92" w:rsidP="009A329B">
            <w:pPr>
              <w:spacing w:after="0" w:line="240" w:lineRule="auto"/>
              <w:rPr>
                <w:sz w:val="28"/>
                <w:szCs w:val="28"/>
              </w:rPr>
            </w:pPr>
          </w:p>
        </w:tc>
      </w:tr>
      <w:tr w:rsidR="00BF4C1B" w:rsidRPr="00BF4C1B" w14:paraId="0ABA7B93" w14:textId="77777777" w:rsidTr="009838CD">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03A16572" w14:textId="77777777" w:rsidR="004B0D92" w:rsidRPr="0008221F" w:rsidRDefault="004B0D92" w:rsidP="009A329B">
            <w:pPr>
              <w:spacing w:after="0" w:line="240" w:lineRule="auto"/>
              <w:rPr>
                <w:sz w:val="6"/>
                <w:szCs w:val="6"/>
              </w:rPr>
            </w:pPr>
          </w:p>
          <w:p w14:paraId="61BD7970" w14:textId="77777777" w:rsidR="00BF4C1B" w:rsidRDefault="00BF4C1B" w:rsidP="000F4CDF">
            <w:pPr>
              <w:spacing w:after="120" w:line="240" w:lineRule="auto"/>
              <w:rPr>
                <w:b/>
                <w:sz w:val="28"/>
                <w:szCs w:val="28"/>
              </w:rPr>
            </w:pPr>
            <w:r w:rsidRPr="0008221F">
              <w:rPr>
                <w:b/>
                <w:sz w:val="28"/>
                <w:szCs w:val="28"/>
              </w:rPr>
              <w:t>TELLING OUR STORY:</w:t>
            </w:r>
          </w:p>
          <w:p w14:paraId="2186B44D" w14:textId="2DAFA65A" w:rsidR="009450F4" w:rsidRPr="001453C3" w:rsidRDefault="009450F4" w:rsidP="000F4CDF">
            <w:pPr>
              <w:spacing w:after="120" w:line="240" w:lineRule="auto"/>
              <w:rPr>
                <w:sz w:val="24"/>
                <w:szCs w:val="24"/>
              </w:rPr>
            </w:pPr>
            <w:r w:rsidRPr="001453C3">
              <w:rPr>
                <w:sz w:val="24"/>
                <w:szCs w:val="24"/>
              </w:rPr>
              <w:t>2018/19 was the third consecutive year that employee (non-teacher) absence rates increased; this is an opposite trend to that experienced by teachers. Sickness absence days per employee (non-teacher) have been higher in Argyll and Bute than Scottish averages for seven out of the last nine years, the exceptions being 2010/11 and 2011/12.)</w:t>
            </w:r>
          </w:p>
          <w:p w14:paraId="4B54AE96" w14:textId="77777777" w:rsidR="004B0D92" w:rsidRPr="0008221F" w:rsidRDefault="004B0D92" w:rsidP="001D6373">
            <w:pPr>
              <w:spacing w:after="0" w:line="240" w:lineRule="auto"/>
              <w:rPr>
                <w:rFonts w:ascii="Arial" w:hAnsi="Arial" w:cs="Arial"/>
              </w:rPr>
            </w:pPr>
          </w:p>
        </w:tc>
      </w:tr>
      <w:tr w:rsidR="0008221F" w:rsidRPr="00BF4C1B" w14:paraId="3FF5DDCD" w14:textId="77777777" w:rsidTr="0008221F">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0D28E61F" w14:textId="77777777" w:rsidR="0008221F" w:rsidRPr="0008221F" w:rsidRDefault="0008221F" w:rsidP="0008221F">
            <w:pPr>
              <w:spacing w:after="0" w:line="240" w:lineRule="auto"/>
              <w:rPr>
                <w:sz w:val="6"/>
                <w:szCs w:val="6"/>
              </w:rPr>
            </w:pPr>
          </w:p>
          <w:p w14:paraId="7510DC52" w14:textId="77777777" w:rsidR="0008221F" w:rsidRPr="0008221F" w:rsidRDefault="0008221F" w:rsidP="000F4CDF">
            <w:pPr>
              <w:spacing w:after="120" w:line="240" w:lineRule="auto"/>
              <w:rPr>
                <w:b/>
                <w:sz w:val="28"/>
                <w:szCs w:val="28"/>
              </w:rPr>
            </w:pPr>
            <w:r w:rsidRPr="0008221F">
              <w:rPr>
                <w:b/>
                <w:sz w:val="28"/>
                <w:szCs w:val="28"/>
              </w:rPr>
              <w:t>LOOKING FORWARD - EXPECTED IMPACT ON INDICATOR:</w:t>
            </w:r>
          </w:p>
          <w:p w14:paraId="2BB4538C" w14:textId="627284DE" w:rsidR="0008221F" w:rsidRPr="006805F1" w:rsidRDefault="006A3094" w:rsidP="000F4CDF">
            <w:pPr>
              <w:spacing w:after="120" w:line="240" w:lineRule="auto"/>
              <w:rPr>
                <w:rFonts w:ascii="Arial" w:hAnsi="Arial" w:cs="Arial"/>
                <w:sz w:val="24"/>
                <w:szCs w:val="24"/>
              </w:rPr>
            </w:pPr>
            <w:r w:rsidRPr="006805F1">
              <w:rPr>
                <w:sz w:val="24"/>
                <w:szCs w:val="24"/>
              </w:rPr>
              <w:t>Work is continuing to manage attendance and</w:t>
            </w:r>
            <w:r w:rsidRPr="006805F1">
              <w:rPr>
                <w:b/>
                <w:sz w:val="24"/>
                <w:szCs w:val="24"/>
              </w:rPr>
              <w:t xml:space="preserve"> </w:t>
            </w:r>
            <w:r w:rsidRPr="006805F1">
              <w:rPr>
                <w:sz w:val="24"/>
                <w:szCs w:val="24"/>
              </w:rPr>
              <w:t>reduce absence. The Council continues to provide support to managers and employees to manage attendance. Options for best practice have been adopted, with learning from other councils. The ageing workforce has an impact on attendance as does stress. The implementation of a wellbeing project and temporary wellbeing team are anticipated to have a positive impact on our sickness absence rates and so we would anticipate an improvement once this is embedded.</w:t>
            </w:r>
          </w:p>
        </w:tc>
      </w:tr>
    </w:tbl>
    <w:p w14:paraId="6C96B670" w14:textId="77777777" w:rsidR="001D6373" w:rsidRDefault="001D6373">
      <w:r>
        <w:br w:type="page"/>
      </w:r>
    </w:p>
    <w:p w14:paraId="13CFD111" w14:textId="77777777" w:rsidR="00C03994" w:rsidRPr="002D0E83" w:rsidRDefault="004B0D92" w:rsidP="009A329B">
      <w:pPr>
        <w:pStyle w:val="Heading2"/>
        <w:spacing w:before="0" w:line="240" w:lineRule="auto"/>
        <w:jc w:val="center"/>
        <w:rPr>
          <w:b/>
          <w:color w:val="auto"/>
          <w:sz w:val="52"/>
          <w:szCs w:val="52"/>
        </w:rPr>
      </w:pPr>
      <w:bookmarkStart w:id="29" w:name="_Toc56757707"/>
      <w:r>
        <w:rPr>
          <w:b/>
          <w:color w:val="auto"/>
          <w:sz w:val="52"/>
          <w:szCs w:val="52"/>
        </w:rPr>
        <w:lastRenderedPageBreak/>
        <w:t>A</w:t>
      </w:r>
      <w:r w:rsidR="009F529C" w:rsidRPr="002D0E83">
        <w:rPr>
          <w:b/>
          <w:color w:val="auto"/>
          <w:sz w:val="52"/>
          <w:szCs w:val="52"/>
        </w:rPr>
        <w:t>DULT CARE</w:t>
      </w:r>
      <w:bookmarkEnd w:id="29"/>
    </w:p>
    <w:tbl>
      <w:tblPr>
        <w:tblStyle w:val="TableGrid1"/>
        <w:tblW w:w="15309" w:type="dxa"/>
        <w:jc w:val="center"/>
        <w:tblLook w:val="04A0" w:firstRow="1" w:lastRow="0" w:firstColumn="1" w:lastColumn="0" w:noHBand="0" w:noVBand="1"/>
      </w:tblPr>
      <w:tblGrid>
        <w:gridCol w:w="5807"/>
        <w:gridCol w:w="1559"/>
        <w:gridCol w:w="6096"/>
        <w:gridCol w:w="1847"/>
      </w:tblGrid>
      <w:tr w:rsidR="00912400" w:rsidRPr="005D65E6" w14:paraId="59FAD0B3" w14:textId="77777777" w:rsidTr="00912400">
        <w:trPr>
          <w:trHeight w:val="794"/>
          <w:jc w:val="center"/>
        </w:trPr>
        <w:tc>
          <w:tcPr>
            <w:tcW w:w="15309" w:type="dxa"/>
            <w:gridSpan w:val="4"/>
            <w:tcBorders>
              <w:bottom w:val="single" w:sz="4" w:space="0" w:color="auto"/>
            </w:tcBorders>
            <w:shd w:val="clear" w:color="auto" w:fill="auto"/>
            <w:vAlign w:val="center"/>
          </w:tcPr>
          <w:p w14:paraId="56D239A8" w14:textId="77777777" w:rsidR="00912400" w:rsidRPr="005D65E6" w:rsidRDefault="00912400" w:rsidP="005D65E6">
            <w:pPr>
              <w:rPr>
                <w:b/>
                <w:sz w:val="32"/>
              </w:rPr>
            </w:pPr>
            <w:r w:rsidRPr="005D65E6">
              <w:rPr>
                <w:b/>
                <w:sz w:val="32"/>
              </w:rPr>
              <w:t>SERVICE: ADULT CARE</w:t>
            </w:r>
          </w:p>
        </w:tc>
      </w:tr>
      <w:tr w:rsidR="00C03994" w:rsidRPr="00A35A77" w14:paraId="5F3DAF91" w14:textId="77777777" w:rsidTr="00F64C02">
        <w:trPr>
          <w:trHeight w:val="567"/>
          <w:jc w:val="center"/>
        </w:trPr>
        <w:tc>
          <w:tcPr>
            <w:tcW w:w="15309" w:type="dxa"/>
            <w:gridSpan w:val="4"/>
            <w:tcBorders>
              <w:bottom w:val="single" w:sz="4" w:space="0" w:color="auto"/>
            </w:tcBorders>
            <w:shd w:val="clear" w:color="auto" w:fill="auto"/>
            <w:vAlign w:val="center"/>
          </w:tcPr>
          <w:p w14:paraId="062547BC" w14:textId="77777777" w:rsidR="00C03994" w:rsidRPr="00A35A77" w:rsidRDefault="00C03994" w:rsidP="009A329B">
            <w:pPr>
              <w:pStyle w:val="Heading1"/>
              <w:spacing w:before="0"/>
              <w:outlineLvl w:val="0"/>
              <w:rPr>
                <w:b/>
                <w:color w:val="auto"/>
              </w:rPr>
            </w:pPr>
            <w:bookmarkStart w:id="30" w:name="_Toc56757708"/>
            <w:r w:rsidRPr="00A35A77">
              <w:rPr>
                <w:b/>
                <w:color w:val="auto"/>
              </w:rPr>
              <w:t>INDI</w:t>
            </w:r>
            <w:r w:rsidR="00E541B3" w:rsidRPr="00A35A77">
              <w:rPr>
                <w:b/>
                <w:color w:val="auto"/>
              </w:rPr>
              <w:t>CATOR REF: SW3</w:t>
            </w:r>
            <w:r w:rsidR="00230126" w:rsidRPr="00A35A77">
              <w:rPr>
                <w:b/>
                <w:color w:val="auto"/>
              </w:rPr>
              <w:t>a</w:t>
            </w:r>
            <w:r w:rsidR="00E541B3" w:rsidRPr="00A35A77">
              <w:rPr>
                <w:b/>
                <w:color w:val="auto"/>
              </w:rPr>
              <w:t xml:space="preserve"> - </w:t>
            </w:r>
            <w:r w:rsidR="009C3608" w:rsidRPr="00A35A77">
              <w:rPr>
                <w:b/>
                <w:color w:val="auto"/>
              </w:rPr>
              <w:t>Percentage</w:t>
            </w:r>
            <w:r w:rsidR="00E541B3" w:rsidRPr="00A35A77">
              <w:rPr>
                <w:b/>
                <w:color w:val="auto"/>
              </w:rPr>
              <w:t xml:space="preserve"> of people 65 and over</w:t>
            </w:r>
            <w:r w:rsidRPr="00A35A77">
              <w:rPr>
                <w:b/>
                <w:color w:val="auto"/>
              </w:rPr>
              <w:t xml:space="preserve"> with </w:t>
            </w:r>
            <w:r w:rsidR="00E541B3" w:rsidRPr="00A35A77">
              <w:rPr>
                <w:b/>
                <w:color w:val="auto"/>
              </w:rPr>
              <w:t xml:space="preserve">long-term </w:t>
            </w:r>
            <w:r w:rsidRPr="00A35A77">
              <w:rPr>
                <w:b/>
                <w:color w:val="auto"/>
              </w:rPr>
              <w:t xml:space="preserve">needs </w:t>
            </w:r>
            <w:r w:rsidR="00E541B3" w:rsidRPr="00A35A77">
              <w:rPr>
                <w:b/>
                <w:color w:val="auto"/>
              </w:rPr>
              <w:t xml:space="preserve">who are </w:t>
            </w:r>
            <w:r w:rsidRPr="00A35A77">
              <w:rPr>
                <w:b/>
                <w:color w:val="auto"/>
              </w:rPr>
              <w:t xml:space="preserve">receiving </w:t>
            </w:r>
            <w:r w:rsidR="00E541B3" w:rsidRPr="00A35A77">
              <w:rPr>
                <w:b/>
                <w:color w:val="auto"/>
              </w:rPr>
              <w:t xml:space="preserve">personal </w:t>
            </w:r>
            <w:r w:rsidRPr="00A35A77">
              <w:rPr>
                <w:b/>
                <w:color w:val="auto"/>
              </w:rPr>
              <w:t>care at home</w:t>
            </w:r>
            <w:bookmarkEnd w:id="30"/>
            <w:r w:rsidR="00CA7DF1" w:rsidRPr="00A35A77">
              <w:rPr>
                <w:b/>
                <w:color w:val="auto"/>
              </w:rPr>
              <w:t xml:space="preserve"> </w:t>
            </w:r>
          </w:p>
        </w:tc>
      </w:tr>
      <w:tr w:rsidR="008F2E9A" w:rsidRPr="00C03994" w14:paraId="7DA84955" w14:textId="77777777" w:rsidTr="00F64C02">
        <w:trPr>
          <w:trHeight w:val="454"/>
          <w:jc w:val="center"/>
        </w:trPr>
        <w:tc>
          <w:tcPr>
            <w:tcW w:w="15309" w:type="dxa"/>
            <w:gridSpan w:val="4"/>
            <w:tcBorders>
              <w:top w:val="single" w:sz="4" w:space="0" w:color="auto"/>
            </w:tcBorders>
            <w:vAlign w:val="center"/>
          </w:tcPr>
          <w:p w14:paraId="5C853753" w14:textId="15E7DE92" w:rsidR="008F2E9A" w:rsidRPr="00080DAD" w:rsidRDefault="008F2E9A" w:rsidP="008A1C74">
            <w:pPr>
              <w:jc w:val="center"/>
              <w:rPr>
                <w:b/>
                <w:color w:val="0070C0"/>
                <w:sz w:val="28"/>
                <w:szCs w:val="28"/>
              </w:rPr>
            </w:pPr>
            <w:r w:rsidRPr="00C577BD">
              <w:rPr>
                <w:b/>
                <w:color w:val="0070C0"/>
                <w:sz w:val="28"/>
                <w:szCs w:val="28"/>
              </w:rPr>
              <w:t>Performance Range:</w:t>
            </w:r>
            <w:r w:rsidR="00080DAD" w:rsidRPr="004C7782">
              <w:rPr>
                <w:b/>
                <w:color w:val="0070C0"/>
                <w:sz w:val="28"/>
                <w:szCs w:val="28"/>
              </w:rPr>
              <w:t xml:space="preserve"> </w:t>
            </w:r>
            <w:r w:rsidR="008A1C74">
              <w:rPr>
                <w:b/>
                <w:color w:val="0070C0"/>
                <w:sz w:val="28"/>
                <w:szCs w:val="28"/>
              </w:rPr>
              <w:t>50.40</w:t>
            </w:r>
            <w:r w:rsidR="00080DAD">
              <w:rPr>
                <w:b/>
                <w:color w:val="0070C0"/>
                <w:sz w:val="28"/>
                <w:szCs w:val="28"/>
              </w:rPr>
              <w:t xml:space="preserve">% to </w:t>
            </w:r>
            <w:r w:rsidR="008A1C74">
              <w:rPr>
                <w:b/>
                <w:color w:val="0070C0"/>
                <w:sz w:val="28"/>
                <w:szCs w:val="28"/>
              </w:rPr>
              <w:t>73.60</w:t>
            </w:r>
            <w:r w:rsidR="00080DAD">
              <w:rPr>
                <w:b/>
                <w:color w:val="0070C0"/>
                <w:sz w:val="28"/>
                <w:szCs w:val="28"/>
              </w:rPr>
              <w:t>%</w:t>
            </w:r>
            <w:r w:rsidR="005E2139">
              <w:rPr>
                <w:b/>
                <w:color w:val="0070C0"/>
                <w:sz w:val="28"/>
                <w:szCs w:val="28"/>
              </w:rPr>
              <w:t xml:space="preserve"> </w:t>
            </w:r>
            <w:r w:rsidR="005E2139" w:rsidRPr="005E2139">
              <w:rPr>
                <w:b/>
                <w:color w:val="0070C0"/>
                <w:sz w:val="28"/>
                <w:szCs w:val="28"/>
              </w:rPr>
              <w:t>(Highest is best)</w:t>
            </w:r>
          </w:p>
        </w:tc>
      </w:tr>
      <w:tr w:rsidR="00C03994" w:rsidRPr="00C03994" w14:paraId="45013052" w14:textId="77777777" w:rsidTr="00E83409">
        <w:trPr>
          <w:trHeight w:val="397"/>
          <w:jc w:val="center"/>
        </w:trPr>
        <w:tc>
          <w:tcPr>
            <w:tcW w:w="7366" w:type="dxa"/>
            <w:gridSpan w:val="2"/>
            <w:shd w:val="clear" w:color="auto" w:fill="D9E2F3" w:themeFill="accent5" w:themeFillTint="33"/>
            <w:vAlign w:val="center"/>
          </w:tcPr>
          <w:p w14:paraId="3C124E72" w14:textId="77777777" w:rsidR="00C03994" w:rsidRPr="00C03994" w:rsidRDefault="00C03994" w:rsidP="009A329B">
            <w:pPr>
              <w:jc w:val="center"/>
              <w:rPr>
                <w:b/>
                <w:sz w:val="28"/>
                <w:szCs w:val="28"/>
              </w:rPr>
            </w:pPr>
            <w:r w:rsidRPr="00C03994">
              <w:rPr>
                <w:b/>
                <w:sz w:val="28"/>
                <w:szCs w:val="28"/>
              </w:rPr>
              <w:t>ARGYLL AND BUTE</w:t>
            </w:r>
          </w:p>
        </w:tc>
        <w:tc>
          <w:tcPr>
            <w:tcW w:w="7943" w:type="dxa"/>
            <w:gridSpan w:val="2"/>
            <w:shd w:val="clear" w:color="auto" w:fill="D9E2F3" w:themeFill="accent5" w:themeFillTint="33"/>
            <w:vAlign w:val="center"/>
          </w:tcPr>
          <w:p w14:paraId="25583BF7" w14:textId="77777777" w:rsidR="00C03994" w:rsidRPr="00C03994" w:rsidRDefault="00C03994" w:rsidP="009A329B">
            <w:pPr>
              <w:jc w:val="center"/>
              <w:rPr>
                <w:b/>
                <w:sz w:val="28"/>
                <w:szCs w:val="28"/>
              </w:rPr>
            </w:pPr>
            <w:r w:rsidRPr="00C03994">
              <w:rPr>
                <w:b/>
                <w:sz w:val="28"/>
                <w:szCs w:val="28"/>
              </w:rPr>
              <w:t>SCOTLAND</w:t>
            </w:r>
          </w:p>
        </w:tc>
      </w:tr>
      <w:tr w:rsidR="0020513E" w:rsidRPr="00C03994" w14:paraId="4BF9AE02" w14:textId="77777777" w:rsidTr="0020513E">
        <w:trPr>
          <w:trHeight w:val="397"/>
          <w:jc w:val="center"/>
        </w:trPr>
        <w:tc>
          <w:tcPr>
            <w:tcW w:w="7366" w:type="dxa"/>
            <w:gridSpan w:val="2"/>
            <w:shd w:val="clear" w:color="auto" w:fill="auto"/>
            <w:vAlign w:val="center"/>
          </w:tcPr>
          <w:p w14:paraId="59A79F77" w14:textId="7B5248BF" w:rsidR="0020513E" w:rsidRPr="00C03994" w:rsidRDefault="008A1C74" w:rsidP="009A329B">
            <w:pPr>
              <w:jc w:val="center"/>
              <w:rPr>
                <w:b/>
                <w:sz w:val="28"/>
                <w:szCs w:val="28"/>
              </w:rPr>
            </w:pPr>
            <w:r>
              <w:rPr>
                <w:b/>
                <w:sz w:val="28"/>
                <w:szCs w:val="28"/>
              </w:rPr>
              <w:t>68.13</w:t>
            </w:r>
            <w:r w:rsidR="00AA4F5A">
              <w:rPr>
                <w:b/>
                <w:sz w:val="28"/>
                <w:szCs w:val="28"/>
              </w:rPr>
              <w:t>%</w:t>
            </w:r>
          </w:p>
        </w:tc>
        <w:tc>
          <w:tcPr>
            <w:tcW w:w="7943" w:type="dxa"/>
            <w:gridSpan w:val="2"/>
            <w:shd w:val="clear" w:color="auto" w:fill="auto"/>
            <w:vAlign w:val="center"/>
          </w:tcPr>
          <w:p w14:paraId="0E9D84BB" w14:textId="7118792C" w:rsidR="0020513E" w:rsidRPr="00C03994" w:rsidRDefault="008A1C74" w:rsidP="009A329B">
            <w:pPr>
              <w:jc w:val="center"/>
              <w:rPr>
                <w:b/>
                <w:sz w:val="28"/>
                <w:szCs w:val="28"/>
              </w:rPr>
            </w:pPr>
            <w:r>
              <w:rPr>
                <w:b/>
                <w:sz w:val="28"/>
                <w:szCs w:val="28"/>
              </w:rPr>
              <w:t>61.02</w:t>
            </w:r>
            <w:r w:rsidR="00AA4F5A">
              <w:rPr>
                <w:b/>
                <w:sz w:val="28"/>
                <w:szCs w:val="28"/>
              </w:rPr>
              <w:t>%</w:t>
            </w:r>
          </w:p>
        </w:tc>
      </w:tr>
      <w:tr w:rsidR="0020513E" w:rsidRPr="00C03994" w14:paraId="586AB276" w14:textId="77777777" w:rsidTr="0020513E">
        <w:trPr>
          <w:trHeight w:val="397"/>
          <w:jc w:val="center"/>
        </w:trPr>
        <w:tc>
          <w:tcPr>
            <w:tcW w:w="5807" w:type="dxa"/>
            <w:shd w:val="clear" w:color="auto" w:fill="auto"/>
            <w:vAlign w:val="center"/>
          </w:tcPr>
          <w:p w14:paraId="449565C8" w14:textId="21FEB803" w:rsidR="0020513E" w:rsidRPr="00A57AD3" w:rsidRDefault="0020513E" w:rsidP="00AA4F5A">
            <w:pPr>
              <w:jc w:val="center"/>
              <w:rPr>
                <w:b/>
                <w:sz w:val="28"/>
                <w:szCs w:val="28"/>
              </w:rPr>
            </w:pPr>
            <w:r w:rsidRPr="00721B18">
              <w:rPr>
                <w:b/>
                <w:sz w:val="28"/>
                <w:szCs w:val="28"/>
              </w:rPr>
              <w:t>CHANGE 201</w:t>
            </w:r>
            <w:r w:rsidR="00AA4F5A">
              <w:rPr>
                <w:b/>
                <w:sz w:val="28"/>
                <w:szCs w:val="28"/>
              </w:rPr>
              <w:t>7</w:t>
            </w:r>
            <w:r w:rsidRPr="00721B18">
              <w:rPr>
                <w:b/>
                <w:sz w:val="28"/>
                <w:szCs w:val="28"/>
              </w:rPr>
              <w:t>/1</w:t>
            </w:r>
            <w:r w:rsidR="00AA4F5A">
              <w:rPr>
                <w:b/>
                <w:sz w:val="28"/>
                <w:szCs w:val="28"/>
              </w:rPr>
              <w:t>8</w:t>
            </w:r>
            <w:r w:rsidRPr="00721B18">
              <w:rPr>
                <w:b/>
                <w:sz w:val="28"/>
                <w:szCs w:val="28"/>
              </w:rPr>
              <w:t xml:space="preserve"> TO </w:t>
            </w:r>
            <w:r>
              <w:rPr>
                <w:b/>
                <w:sz w:val="28"/>
                <w:szCs w:val="28"/>
              </w:rPr>
              <w:t>201</w:t>
            </w:r>
            <w:r w:rsidR="00AA4F5A">
              <w:rPr>
                <w:b/>
                <w:sz w:val="28"/>
                <w:szCs w:val="28"/>
              </w:rPr>
              <w:t>8</w:t>
            </w:r>
            <w:r>
              <w:rPr>
                <w:b/>
                <w:sz w:val="28"/>
                <w:szCs w:val="28"/>
              </w:rPr>
              <w:t>/1</w:t>
            </w:r>
            <w:r w:rsidR="00AA4F5A">
              <w:rPr>
                <w:b/>
                <w:sz w:val="28"/>
                <w:szCs w:val="28"/>
              </w:rPr>
              <w:t>9</w:t>
            </w:r>
          </w:p>
        </w:tc>
        <w:tc>
          <w:tcPr>
            <w:tcW w:w="1559" w:type="dxa"/>
            <w:shd w:val="clear" w:color="auto" w:fill="auto"/>
            <w:vAlign w:val="center"/>
          </w:tcPr>
          <w:p w14:paraId="326E8871" w14:textId="41F3A5EC" w:rsidR="0020513E" w:rsidRPr="00A57AD3" w:rsidRDefault="008A1C74" w:rsidP="009A329B">
            <w:pPr>
              <w:jc w:val="center"/>
              <w:rPr>
                <w:b/>
                <w:sz w:val="28"/>
                <w:szCs w:val="28"/>
              </w:rPr>
            </w:pPr>
            <w:r>
              <w:rPr>
                <w:b/>
                <w:sz w:val="28"/>
                <w:szCs w:val="28"/>
              </w:rPr>
              <w:t>0.76</w:t>
            </w:r>
            <w:r w:rsidR="00F6309A">
              <w:rPr>
                <w:b/>
                <w:sz w:val="28"/>
                <w:szCs w:val="28"/>
              </w:rPr>
              <w:t xml:space="preserve"> </w:t>
            </w:r>
            <w:r w:rsidR="00F6309A" w:rsidRPr="00EC5E64">
              <w:rPr>
                <w:b/>
                <w:color w:val="00B050"/>
                <w:sz w:val="28"/>
                <w:szCs w:val="28"/>
              </w:rPr>
              <w:sym w:font="Wingdings" w:char="F0E9"/>
            </w:r>
          </w:p>
        </w:tc>
        <w:tc>
          <w:tcPr>
            <w:tcW w:w="6096" w:type="dxa"/>
            <w:shd w:val="clear" w:color="auto" w:fill="auto"/>
            <w:vAlign w:val="center"/>
          </w:tcPr>
          <w:p w14:paraId="55752846" w14:textId="18419DE7" w:rsidR="0020513E" w:rsidRDefault="0020513E" w:rsidP="00AA4F5A">
            <w:pPr>
              <w:jc w:val="center"/>
              <w:rPr>
                <w:b/>
                <w:sz w:val="28"/>
                <w:szCs w:val="28"/>
              </w:rPr>
            </w:pPr>
            <w:r>
              <w:rPr>
                <w:sz w:val="28"/>
                <w:szCs w:val="28"/>
              </w:rPr>
              <w:t>CHANGE 201</w:t>
            </w:r>
            <w:r w:rsidR="00AA4F5A">
              <w:rPr>
                <w:sz w:val="28"/>
                <w:szCs w:val="28"/>
              </w:rPr>
              <w:t>7</w:t>
            </w:r>
            <w:r>
              <w:rPr>
                <w:sz w:val="28"/>
                <w:szCs w:val="28"/>
              </w:rPr>
              <w:t>/1</w:t>
            </w:r>
            <w:r w:rsidR="00AA4F5A">
              <w:rPr>
                <w:sz w:val="28"/>
                <w:szCs w:val="28"/>
              </w:rPr>
              <w:t>8</w:t>
            </w:r>
            <w:r>
              <w:rPr>
                <w:sz w:val="28"/>
                <w:szCs w:val="28"/>
              </w:rPr>
              <w:t xml:space="preserve"> TO 201</w:t>
            </w:r>
            <w:r w:rsidR="00AA4F5A">
              <w:rPr>
                <w:sz w:val="28"/>
                <w:szCs w:val="28"/>
              </w:rPr>
              <w:t>8</w:t>
            </w:r>
            <w:r>
              <w:rPr>
                <w:sz w:val="28"/>
                <w:szCs w:val="28"/>
              </w:rPr>
              <w:t>/1</w:t>
            </w:r>
            <w:r w:rsidR="00AA4F5A">
              <w:rPr>
                <w:sz w:val="28"/>
                <w:szCs w:val="28"/>
              </w:rPr>
              <w:t>9</w:t>
            </w:r>
          </w:p>
        </w:tc>
        <w:tc>
          <w:tcPr>
            <w:tcW w:w="1847" w:type="dxa"/>
            <w:shd w:val="clear" w:color="auto" w:fill="auto"/>
            <w:vAlign w:val="center"/>
          </w:tcPr>
          <w:p w14:paraId="0A96DB60" w14:textId="2E6BEF31" w:rsidR="0020513E" w:rsidRPr="008A1C74" w:rsidRDefault="00F6309A" w:rsidP="009A329B">
            <w:pPr>
              <w:jc w:val="center"/>
              <w:rPr>
                <w:sz w:val="28"/>
                <w:szCs w:val="28"/>
                <w:highlight w:val="yellow"/>
              </w:rPr>
            </w:pPr>
            <w:r>
              <w:rPr>
                <w:sz w:val="28"/>
                <w:szCs w:val="28"/>
              </w:rPr>
              <w:t>-0.73</w:t>
            </w:r>
            <w:r w:rsidRPr="00F6309A">
              <w:rPr>
                <w:sz w:val="28"/>
                <w:szCs w:val="28"/>
              </w:rPr>
              <w:t xml:space="preserve"> </w:t>
            </w:r>
            <w:r w:rsidRPr="00C14931">
              <w:rPr>
                <w:b/>
                <w:color w:val="FF0000"/>
                <w:sz w:val="28"/>
                <w:szCs w:val="28"/>
              </w:rPr>
              <w:sym w:font="Wingdings" w:char="F0EA"/>
            </w:r>
          </w:p>
        </w:tc>
      </w:tr>
      <w:tr w:rsidR="0020513E" w:rsidRPr="00C03994" w14:paraId="449BBDD3" w14:textId="77777777" w:rsidTr="0020513E">
        <w:trPr>
          <w:trHeight w:val="397"/>
          <w:jc w:val="center"/>
        </w:trPr>
        <w:tc>
          <w:tcPr>
            <w:tcW w:w="5807" w:type="dxa"/>
            <w:shd w:val="clear" w:color="auto" w:fill="auto"/>
            <w:vAlign w:val="center"/>
          </w:tcPr>
          <w:p w14:paraId="104D48BD" w14:textId="43E6010A" w:rsidR="0020513E" w:rsidRPr="00721B18" w:rsidRDefault="0020513E" w:rsidP="00AA4F5A">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w:t>
            </w:r>
            <w:r w:rsidR="00AA4F5A">
              <w:rPr>
                <w:b/>
                <w:sz w:val="28"/>
                <w:szCs w:val="28"/>
              </w:rPr>
              <w:t>8</w:t>
            </w:r>
            <w:r>
              <w:rPr>
                <w:b/>
                <w:sz w:val="28"/>
                <w:szCs w:val="28"/>
              </w:rPr>
              <w:t>/1</w:t>
            </w:r>
            <w:r w:rsidR="00AA4F5A">
              <w:rPr>
                <w:b/>
                <w:sz w:val="28"/>
                <w:szCs w:val="28"/>
              </w:rPr>
              <w:t>9</w:t>
            </w:r>
          </w:p>
        </w:tc>
        <w:tc>
          <w:tcPr>
            <w:tcW w:w="1559" w:type="dxa"/>
            <w:shd w:val="clear" w:color="auto" w:fill="auto"/>
            <w:vAlign w:val="center"/>
          </w:tcPr>
          <w:p w14:paraId="7FEC3566" w14:textId="64F4A358" w:rsidR="0020513E" w:rsidRPr="00A57AD3" w:rsidRDefault="008A1C74" w:rsidP="009A329B">
            <w:pPr>
              <w:jc w:val="center"/>
              <w:rPr>
                <w:b/>
                <w:sz w:val="28"/>
                <w:szCs w:val="28"/>
              </w:rPr>
            </w:pPr>
            <w:r>
              <w:rPr>
                <w:b/>
                <w:sz w:val="28"/>
                <w:szCs w:val="28"/>
              </w:rPr>
              <w:t>13.67</w:t>
            </w:r>
            <w:r w:rsidR="00F6309A">
              <w:rPr>
                <w:b/>
                <w:sz w:val="28"/>
                <w:szCs w:val="28"/>
              </w:rPr>
              <w:t xml:space="preserve"> </w:t>
            </w:r>
            <w:r w:rsidR="00F6309A" w:rsidRPr="00EC5E64">
              <w:rPr>
                <w:b/>
                <w:color w:val="00B050"/>
                <w:sz w:val="28"/>
                <w:szCs w:val="28"/>
              </w:rPr>
              <w:sym w:font="Wingdings" w:char="F0E9"/>
            </w:r>
          </w:p>
        </w:tc>
        <w:tc>
          <w:tcPr>
            <w:tcW w:w="6096" w:type="dxa"/>
            <w:tcBorders>
              <w:bottom w:val="single" w:sz="4" w:space="0" w:color="auto"/>
            </w:tcBorders>
            <w:shd w:val="clear" w:color="auto" w:fill="auto"/>
            <w:vAlign w:val="center"/>
          </w:tcPr>
          <w:p w14:paraId="23C999D8" w14:textId="285362B6" w:rsidR="0020513E" w:rsidRDefault="0020513E" w:rsidP="00AA4F5A">
            <w:pPr>
              <w:jc w:val="center"/>
              <w:rPr>
                <w:sz w:val="28"/>
                <w:szCs w:val="28"/>
              </w:rPr>
            </w:pPr>
            <w:r>
              <w:rPr>
                <w:sz w:val="28"/>
                <w:szCs w:val="28"/>
              </w:rPr>
              <w:t xml:space="preserve">CHANGE </w:t>
            </w:r>
            <w:r w:rsidRPr="00903E39">
              <w:rPr>
                <w:sz w:val="28"/>
                <w:szCs w:val="28"/>
              </w:rPr>
              <w:t xml:space="preserve">BASE YEAR </w:t>
            </w:r>
            <w:r>
              <w:rPr>
                <w:sz w:val="28"/>
                <w:szCs w:val="28"/>
              </w:rPr>
              <w:t>TO 201</w:t>
            </w:r>
            <w:r w:rsidR="00AA4F5A">
              <w:rPr>
                <w:sz w:val="28"/>
                <w:szCs w:val="28"/>
              </w:rPr>
              <w:t>8</w:t>
            </w:r>
            <w:r>
              <w:rPr>
                <w:sz w:val="28"/>
                <w:szCs w:val="28"/>
              </w:rPr>
              <w:t>/1</w:t>
            </w:r>
            <w:r w:rsidR="00AA4F5A">
              <w:rPr>
                <w:sz w:val="28"/>
                <w:szCs w:val="28"/>
              </w:rPr>
              <w:t>9</w:t>
            </w:r>
          </w:p>
        </w:tc>
        <w:tc>
          <w:tcPr>
            <w:tcW w:w="1847" w:type="dxa"/>
            <w:tcBorders>
              <w:bottom w:val="single" w:sz="4" w:space="0" w:color="auto"/>
            </w:tcBorders>
            <w:shd w:val="clear" w:color="auto" w:fill="auto"/>
            <w:vAlign w:val="center"/>
          </w:tcPr>
          <w:p w14:paraId="081FBCD4" w14:textId="3D24250A" w:rsidR="0020513E" w:rsidRPr="008A1C74" w:rsidRDefault="00F6309A" w:rsidP="009A329B">
            <w:pPr>
              <w:jc w:val="center"/>
              <w:rPr>
                <w:sz w:val="28"/>
                <w:szCs w:val="28"/>
                <w:highlight w:val="yellow"/>
              </w:rPr>
            </w:pPr>
            <w:r>
              <w:rPr>
                <w:sz w:val="28"/>
                <w:szCs w:val="28"/>
              </w:rPr>
              <w:t xml:space="preserve">2.08 </w:t>
            </w:r>
            <w:r w:rsidRPr="00EC5E64">
              <w:rPr>
                <w:b/>
                <w:color w:val="00B050"/>
                <w:sz w:val="28"/>
                <w:szCs w:val="28"/>
              </w:rPr>
              <w:sym w:font="Wingdings" w:char="F0E9"/>
            </w:r>
          </w:p>
        </w:tc>
      </w:tr>
      <w:tr w:rsidR="0020513E" w:rsidRPr="00C03994" w14:paraId="150CA005" w14:textId="77777777" w:rsidTr="00B318EA">
        <w:trPr>
          <w:trHeight w:val="397"/>
          <w:jc w:val="center"/>
        </w:trPr>
        <w:tc>
          <w:tcPr>
            <w:tcW w:w="7366" w:type="dxa"/>
            <w:gridSpan w:val="2"/>
            <w:tcBorders>
              <w:bottom w:val="single" w:sz="4" w:space="0" w:color="auto"/>
            </w:tcBorders>
            <w:shd w:val="clear" w:color="auto" w:fill="auto"/>
            <w:vAlign w:val="center"/>
          </w:tcPr>
          <w:p w14:paraId="25CE12F5" w14:textId="38B936E3" w:rsidR="0020513E" w:rsidRPr="00A57AD3" w:rsidRDefault="0020513E" w:rsidP="00AA4F5A">
            <w:pPr>
              <w:jc w:val="center"/>
              <w:rPr>
                <w:b/>
                <w:sz w:val="28"/>
                <w:szCs w:val="28"/>
              </w:rPr>
            </w:pPr>
            <w:r w:rsidRPr="00A57AD3">
              <w:rPr>
                <w:b/>
                <w:sz w:val="28"/>
                <w:szCs w:val="28"/>
              </w:rPr>
              <w:t>RANK POSITION:</w:t>
            </w:r>
            <w:r w:rsidR="00513443" w:rsidRPr="001B693A">
              <w:rPr>
                <w:b/>
                <w:sz w:val="28"/>
                <w:szCs w:val="28"/>
              </w:rPr>
              <w:t xml:space="preserve">  </w:t>
            </w:r>
            <w:r w:rsidR="008A1C74">
              <w:rPr>
                <w:b/>
                <w:sz w:val="28"/>
                <w:szCs w:val="28"/>
              </w:rPr>
              <w:t>6</w:t>
            </w:r>
            <w:r w:rsidR="00513443" w:rsidRPr="001B693A">
              <w:rPr>
                <w:b/>
                <w:sz w:val="28"/>
                <w:szCs w:val="28"/>
              </w:rPr>
              <w:t xml:space="preserve">  </w:t>
            </w:r>
            <w:r w:rsidRPr="00A57AD3">
              <w:rPr>
                <w:b/>
                <w:sz w:val="28"/>
                <w:szCs w:val="28"/>
              </w:rPr>
              <w:t xml:space="preserve">RANK MOVEMENT: </w:t>
            </w:r>
            <w:r w:rsidR="008A1C74">
              <w:rPr>
                <w:b/>
                <w:sz w:val="28"/>
                <w:szCs w:val="28"/>
              </w:rPr>
              <w:t>2</w:t>
            </w:r>
            <w:r w:rsidR="00F6309A">
              <w:rPr>
                <w:b/>
                <w:sz w:val="28"/>
                <w:szCs w:val="28"/>
              </w:rPr>
              <w:t xml:space="preserve"> </w:t>
            </w:r>
            <w:r w:rsidR="00F6309A" w:rsidRPr="00EC5E64">
              <w:rPr>
                <w:b/>
                <w:color w:val="00B050"/>
                <w:sz w:val="28"/>
                <w:szCs w:val="28"/>
              </w:rPr>
              <w:sym w:font="Wingdings" w:char="F0E9"/>
            </w:r>
          </w:p>
        </w:tc>
        <w:tc>
          <w:tcPr>
            <w:tcW w:w="7943" w:type="dxa"/>
            <w:gridSpan w:val="2"/>
            <w:tcBorders>
              <w:bottom w:val="nil"/>
            </w:tcBorders>
            <w:shd w:val="clear" w:color="auto" w:fill="D9D9D9" w:themeFill="background1" w:themeFillShade="D9"/>
            <w:vAlign w:val="center"/>
          </w:tcPr>
          <w:p w14:paraId="6DBA0988" w14:textId="77777777" w:rsidR="0020513E" w:rsidRDefault="0020513E" w:rsidP="009A329B">
            <w:pPr>
              <w:jc w:val="center"/>
              <w:rPr>
                <w:b/>
                <w:sz w:val="28"/>
                <w:szCs w:val="28"/>
              </w:rPr>
            </w:pPr>
          </w:p>
        </w:tc>
      </w:tr>
      <w:tr w:rsidR="0020513E" w:rsidRPr="00C03994" w14:paraId="103534B3" w14:textId="77777777" w:rsidTr="00B318EA">
        <w:trPr>
          <w:trHeight w:val="397"/>
          <w:jc w:val="center"/>
        </w:trPr>
        <w:tc>
          <w:tcPr>
            <w:tcW w:w="7366" w:type="dxa"/>
            <w:gridSpan w:val="2"/>
            <w:tcBorders>
              <w:bottom w:val="nil"/>
            </w:tcBorders>
            <w:shd w:val="clear" w:color="auto" w:fill="D9E2F3" w:themeFill="accent5" w:themeFillTint="33"/>
            <w:vAlign w:val="center"/>
          </w:tcPr>
          <w:p w14:paraId="20638BCD" w14:textId="6CF057B8" w:rsidR="0020513E" w:rsidRPr="00A57AD3" w:rsidRDefault="0020513E" w:rsidP="00AA4F5A">
            <w:pPr>
              <w:jc w:val="center"/>
              <w:rPr>
                <w:b/>
                <w:sz w:val="28"/>
                <w:szCs w:val="28"/>
              </w:rPr>
            </w:pPr>
            <w:r>
              <w:rPr>
                <w:b/>
                <w:sz w:val="28"/>
                <w:szCs w:val="28"/>
              </w:rPr>
              <w:t>FAMILY GROUP RANKING 201</w:t>
            </w:r>
            <w:r w:rsidR="00AA4F5A">
              <w:rPr>
                <w:b/>
                <w:sz w:val="28"/>
                <w:szCs w:val="28"/>
              </w:rPr>
              <w:t>8</w:t>
            </w:r>
            <w:r>
              <w:rPr>
                <w:b/>
                <w:sz w:val="28"/>
                <w:szCs w:val="28"/>
              </w:rPr>
              <w:t>/1</w:t>
            </w:r>
            <w:r w:rsidR="00AA4F5A">
              <w:rPr>
                <w:b/>
                <w:sz w:val="28"/>
                <w:szCs w:val="28"/>
              </w:rPr>
              <w:t>9</w:t>
            </w:r>
          </w:p>
        </w:tc>
        <w:tc>
          <w:tcPr>
            <w:tcW w:w="7943" w:type="dxa"/>
            <w:gridSpan w:val="2"/>
            <w:tcBorders>
              <w:top w:val="nil"/>
              <w:bottom w:val="nil"/>
            </w:tcBorders>
            <w:shd w:val="clear" w:color="auto" w:fill="D9D9D9" w:themeFill="background1" w:themeFillShade="D9"/>
            <w:vAlign w:val="center"/>
          </w:tcPr>
          <w:p w14:paraId="25F702DA" w14:textId="77777777" w:rsidR="0020513E" w:rsidRDefault="0020513E" w:rsidP="009A329B">
            <w:pPr>
              <w:jc w:val="center"/>
              <w:rPr>
                <w:b/>
                <w:sz w:val="28"/>
                <w:szCs w:val="28"/>
              </w:rPr>
            </w:pPr>
          </w:p>
        </w:tc>
      </w:tr>
      <w:tr w:rsidR="0020513E" w:rsidRPr="00C03994" w14:paraId="59BE42CB" w14:textId="77777777" w:rsidTr="00B318EA">
        <w:trPr>
          <w:trHeight w:val="397"/>
          <w:jc w:val="center"/>
        </w:trPr>
        <w:tc>
          <w:tcPr>
            <w:tcW w:w="7366" w:type="dxa"/>
            <w:gridSpan w:val="2"/>
            <w:tcBorders>
              <w:top w:val="nil"/>
            </w:tcBorders>
            <w:shd w:val="clear" w:color="auto" w:fill="D9E2F3" w:themeFill="accent5" w:themeFillTint="33"/>
            <w:vAlign w:val="center"/>
          </w:tcPr>
          <w:p w14:paraId="64335FC9" w14:textId="01C3F4D9" w:rsidR="0020513E" w:rsidRPr="00A57AD3" w:rsidRDefault="0020513E" w:rsidP="00AA4F5A">
            <w:pPr>
              <w:jc w:val="center"/>
              <w:rPr>
                <w:b/>
                <w:sz w:val="28"/>
                <w:szCs w:val="28"/>
              </w:rPr>
            </w:pPr>
            <w:r>
              <w:rPr>
                <w:b/>
                <w:sz w:val="28"/>
                <w:szCs w:val="28"/>
              </w:rPr>
              <w:t>RANK POSITION:</w:t>
            </w:r>
            <w:r w:rsidR="00FD1CF1">
              <w:rPr>
                <w:b/>
                <w:sz w:val="28"/>
                <w:szCs w:val="28"/>
              </w:rPr>
              <w:t xml:space="preserve">  </w:t>
            </w:r>
            <w:r w:rsidR="008A1C74">
              <w:rPr>
                <w:b/>
                <w:sz w:val="28"/>
                <w:szCs w:val="28"/>
              </w:rPr>
              <w:t>1</w:t>
            </w:r>
            <w:r w:rsidR="00FD1CF1">
              <w:rPr>
                <w:b/>
                <w:sz w:val="28"/>
                <w:szCs w:val="28"/>
              </w:rPr>
              <w:t xml:space="preserve">  </w:t>
            </w:r>
            <w:r>
              <w:rPr>
                <w:b/>
                <w:sz w:val="28"/>
                <w:szCs w:val="28"/>
              </w:rPr>
              <w:t xml:space="preserve">RANK MOVEMEMENT: </w:t>
            </w:r>
            <w:r w:rsidR="008A1C74">
              <w:rPr>
                <w:b/>
                <w:sz w:val="28"/>
                <w:szCs w:val="28"/>
              </w:rPr>
              <w:t>1</w:t>
            </w:r>
            <w:r w:rsidR="00F6309A">
              <w:rPr>
                <w:b/>
                <w:sz w:val="28"/>
                <w:szCs w:val="28"/>
              </w:rPr>
              <w:t xml:space="preserve"> </w:t>
            </w:r>
            <w:r w:rsidR="00F6309A" w:rsidRPr="00EC5E64">
              <w:rPr>
                <w:b/>
                <w:color w:val="00B050"/>
                <w:sz w:val="28"/>
                <w:szCs w:val="28"/>
              </w:rPr>
              <w:sym w:font="Wingdings" w:char="F0E9"/>
            </w:r>
          </w:p>
        </w:tc>
        <w:tc>
          <w:tcPr>
            <w:tcW w:w="7943" w:type="dxa"/>
            <w:gridSpan w:val="2"/>
            <w:tcBorders>
              <w:top w:val="nil"/>
            </w:tcBorders>
            <w:shd w:val="clear" w:color="auto" w:fill="D9D9D9" w:themeFill="background1" w:themeFillShade="D9"/>
            <w:vAlign w:val="center"/>
          </w:tcPr>
          <w:p w14:paraId="21EE9B08" w14:textId="77777777" w:rsidR="0020513E" w:rsidRDefault="0020513E" w:rsidP="009A329B">
            <w:pPr>
              <w:jc w:val="center"/>
              <w:rPr>
                <w:b/>
                <w:sz w:val="28"/>
                <w:szCs w:val="28"/>
              </w:rPr>
            </w:pPr>
          </w:p>
        </w:tc>
      </w:tr>
      <w:tr w:rsidR="0020513E" w:rsidRPr="00C03994" w14:paraId="6BC420FB" w14:textId="77777777" w:rsidTr="0020513E">
        <w:trPr>
          <w:trHeight w:val="397"/>
          <w:jc w:val="center"/>
        </w:trPr>
        <w:tc>
          <w:tcPr>
            <w:tcW w:w="15309" w:type="dxa"/>
            <w:gridSpan w:val="4"/>
            <w:tcBorders>
              <w:top w:val="nil"/>
            </w:tcBorders>
            <w:shd w:val="clear" w:color="auto" w:fill="auto"/>
            <w:vAlign w:val="center"/>
          </w:tcPr>
          <w:p w14:paraId="73154B1F" w14:textId="77777777" w:rsidR="0020513E" w:rsidRPr="0020513E" w:rsidRDefault="0020513E" w:rsidP="000F4CDF">
            <w:pPr>
              <w:spacing w:after="120"/>
              <w:rPr>
                <w:sz w:val="6"/>
                <w:szCs w:val="6"/>
              </w:rPr>
            </w:pPr>
          </w:p>
          <w:p w14:paraId="12EFDB40" w14:textId="77777777" w:rsidR="0020513E" w:rsidRDefault="0020513E" w:rsidP="000F4CDF">
            <w:pPr>
              <w:spacing w:after="120"/>
              <w:rPr>
                <w:b/>
                <w:sz w:val="28"/>
                <w:szCs w:val="28"/>
              </w:rPr>
            </w:pPr>
            <w:r w:rsidRPr="00C03994">
              <w:rPr>
                <w:b/>
                <w:sz w:val="28"/>
                <w:szCs w:val="28"/>
              </w:rPr>
              <w:t>TELLING OUR STORY:</w:t>
            </w:r>
          </w:p>
          <w:p w14:paraId="64DB36C7" w14:textId="2C545CB8" w:rsidR="002432AA" w:rsidRPr="001453C3" w:rsidRDefault="002432AA" w:rsidP="000F4CDF">
            <w:pPr>
              <w:spacing w:after="120"/>
              <w:rPr>
                <w:sz w:val="24"/>
                <w:szCs w:val="24"/>
              </w:rPr>
            </w:pPr>
            <w:r w:rsidRPr="001453C3">
              <w:rPr>
                <w:sz w:val="24"/>
                <w:szCs w:val="24"/>
              </w:rPr>
              <w:t>The percentage of people aged 65 and over, receiving personal care at home in Argyll and Bute has increased for the second year running. For the 7</w:t>
            </w:r>
            <w:r w:rsidRPr="001453C3">
              <w:rPr>
                <w:sz w:val="24"/>
                <w:szCs w:val="24"/>
                <w:vertAlign w:val="superscript"/>
              </w:rPr>
              <w:t>th</w:t>
            </w:r>
            <w:r w:rsidRPr="001453C3">
              <w:rPr>
                <w:sz w:val="24"/>
                <w:szCs w:val="24"/>
              </w:rPr>
              <w:t xml:space="preserve"> year running, Argyll and Bute's performance has been better than the Scottish average for this indicator.</w:t>
            </w:r>
            <w:r w:rsidR="00601DB2">
              <w:rPr>
                <w:sz w:val="24"/>
                <w:szCs w:val="24"/>
              </w:rPr>
              <w:t xml:space="preserve"> </w:t>
            </w:r>
            <w:r w:rsidR="00601DB2" w:rsidRPr="00601DB2">
              <w:rPr>
                <w:sz w:val="24"/>
                <w:szCs w:val="24"/>
              </w:rPr>
              <w:t>This is the main focus of all our older adult services and reflects strong locality based approaches.</w:t>
            </w:r>
          </w:p>
          <w:p w14:paraId="1BCEE8C2" w14:textId="77777777" w:rsidR="0020513E" w:rsidRPr="0020513E" w:rsidRDefault="0020513E" w:rsidP="000F4CDF">
            <w:pPr>
              <w:spacing w:after="120"/>
              <w:rPr>
                <w:rFonts w:ascii="Arial" w:hAnsi="Arial" w:cs="Arial"/>
                <w:szCs w:val="28"/>
              </w:rPr>
            </w:pPr>
          </w:p>
        </w:tc>
      </w:tr>
      <w:tr w:rsidR="0020513E" w:rsidRPr="00C03994" w14:paraId="616A7221" w14:textId="77777777" w:rsidTr="0020513E">
        <w:trPr>
          <w:trHeight w:val="397"/>
          <w:jc w:val="center"/>
        </w:trPr>
        <w:tc>
          <w:tcPr>
            <w:tcW w:w="15309" w:type="dxa"/>
            <w:gridSpan w:val="4"/>
            <w:tcBorders>
              <w:top w:val="nil"/>
            </w:tcBorders>
            <w:shd w:val="clear" w:color="auto" w:fill="auto"/>
            <w:vAlign w:val="center"/>
          </w:tcPr>
          <w:p w14:paraId="5E323A76" w14:textId="77777777" w:rsidR="0020513E" w:rsidRPr="0020513E" w:rsidRDefault="0020513E" w:rsidP="0020513E">
            <w:pPr>
              <w:rPr>
                <w:sz w:val="6"/>
                <w:szCs w:val="6"/>
              </w:rPr>
            </w:pPr>
          </w:p>
          <w:p w14:paraId="47F9B5AE" w14:textId="77777777" w:rsidR="0020513E" w:rsidRPr="00C03994" w:rsidRDefault="0020513E" w:rsidP="000F4CDF">
            <w:pPr>
              <w:spacing w:after="120"/>
              <w:rPr>
                <w:b/>
                <w:sz w:val="28"/>
                <w:szCs w:val="28"/>
              </w:rPr>
            </w:pPr>
            <w:r>
              <w:rPr>
                <w:b/>
                <w:sz w:val="28"/>
                <w:szCs w:val="28"/>
              </w:rPr>
              <w:t>LOOKING FORWARD - EXPECTED IMPACT ON INDICATOR</w:t>
            </w:r>
            <w:r w:rsidRPr="00C03994">
              <w:rPr>
                <w:b/>
                <w:sz w:val="28"/>
                <w:szCs w:val="28"/>
              </w:rPr>
              <w:t>:</w:t>
            </w:r>
          </w:p>
          <w:p w14:paraId="29168EA1" w14:textId="7E9EE201" w:rsidR="001341A5" w:rsidRPr="006805F1" w:rsidRDefault="00601DB2" w:rsidP="000F4CDF">
            <w:pPr>
              <w:spacing w:after="120"/>
              <w:rPr>
                <w:rFonts w:cstheme="minorHAnsi"/>
                <w:sz w:val="24"/>
                <w:szCs w:val="24"/>
              </w:rPr>
            </w:pPr>
            <w:r w:rsidRPr="006805F1">
              <w:rPr>
                <w:rFonts w:cstheme="minorHAnsi"/>
                <w:sz w:val="24"/>
                <w:szCs w:val="24"/>
              </w:rPr>
              <w:t>We intend to have a strong focus on care at home as a single service delivered across our localities.</w:t>
            </w:r>
          </w:p>
        </w:tc>
      </w:tr>
    </w:tbl>
    <w:p w14:paraId="2A81826F" w14:textId="1E2EBF16" w:rsidR="009A6798" w:rsidRDefault="00AA4F5A">
      <w:r>
        <w:br w:type="page"/>
      </w:r>
    </w:p>
    <w:tbl>
      <w:tblPr>
        <w:tblStyle w:val="TableGrid1"/>
        <w:tblW w:w="15309" w:type="dxa"/>
        <w:jc w:val="center"/>
        <w:tblLook w:val="04A0" w:firstRow="1" w:lastRow="0" w:firstColumn="1" w:lastColumn="0" w:noHBand="0" w:noVBand="1"/>
      </w:tblPr>
      <w:tblGrid>
        <w:gridCol w:w="5949"/>
        <w:gridCol w:w="1559"/>
        <w:gridCol w:w="6095"/>
        <w:gridCol w:w="1706"/>
      </w:tblGrid>
      <w:tr w:rsidR="00912400" w:rsidRPr="005D65E6" w14:paraId="171D0A8E" w14:textId="77777777" w:rsidTr="00912400">
        <w:trPr>
          <w:trHeight w:val="794"/>
          <w:jc w:val="center"/>
        </w:trPr>
        <w:tc>
          <w:tcPr>
            <w:tcW w:w="15309" w:type="dxa"/>
            <w:gridSpan w:val="4"/>
            <w:vAlign w:val="center"/>
          </w:tcPr>
          <w:p w14:paraId="4A937C86" w14:textId="77777777" w:rsidR="00912400" w:rsidRPr="005D65E6" w:rsidRDefault="00912400" w:rsidP="005D65E6">
            <w:pPr>
              <w:rPr>
                <w:b/>
                <w:sz w:val="32"/>
              </w:rPr>
            </w:pPr>
            <w:r w:rsidRPr="005D65E6">
              <w:rPr>
                <w:b/>
                <w:sz w:val="32"/>
              </w:rPr>
              <w:lastRenderedPageBreak/>
              <w:t>SERVICE: ADULT CARE</w:t>
            </w:r>
          </w:p>
        </w:tc>
      </w:tr>
      <w:tr w:rsidR="00C03994" w:rsidRPr="00A35A77" w14:paraId="11A0F4E8" w14:textId="77777777" w:rsidTr="001C213F">
        <w:trPr>
          <w:trHeight w:val="567"/>
          <w:jc w:val="center"/>
        </w:trPr>
        <w:tc>
          <w:tcPr>
            <w:tcW w:w="15309" w:type="dxa"/>
            <w:gridSpan w:val="4"/>
            <w:vAlign w:val="center"/>
          </w:tcPr>
          <w:p w14:paraId="502AB650" w14:textId="77777777" w:rsidR="00C03994" w:rsidRPr="00A35A77" w:rsidRDefault="00C03994" w:rsidP="009A329B">
            <w:pPr>
              <w:pStyle w:val="Heading1"/>
              <w:spacing w:before="0"/>
              <w:outlineLvl w:val="0"/>
              <w:rPr>
                <w:b/>
                <w:color w:val="auto"/>
              </w:rPr>
            </w:pPr>
            <w:bookmarkStart w:id="31" w:name="_Toc56757709"/>
            <w:r w:rsidRPr="00A35A77">
              <w:rPr>
                <w:b/>
                <w:color w:val="auto"/>
              </w:rPr>
              <w:t xml:space="preserve">INDICATOR REF: SW4b - </w:t>
            </w:r>
            <w:r w:rsidR="006476C6" w:rsidRPr="00A35A77">
              <w:rPr>
                <w:b/>
                <w:color w:val="auto"/>
              </w:rPr>
              <w:t xml:space="preserve">Percentage </w:t>
            </w:r>
            <w:r w:rsidRPr="00A35A77">
              <w:rPr>
                <w:b/>
                <w:color w:val="auto"/>
              </w:rPr>
              <w:t>of adults supported at home who agree that their services and support had an impact in improving or maintaining their quality of life</w:t>
            </w:r>
            <w:bookmarkEnd w:id="31"/>
            <w:r w:rsidRPr="00A35A77">
              <w:rPr>
                <w:b/>
                <w:color w:val="auto"/>
              </w:rPr>
              <w:t xml:space="preserve"> </w:t>
            </w:r>
          </w:p>
        </w:tc>
      </w:tr>
      <w:tr w:rsidR="008F2E9A" w:rsidRPr="00C03994" w14:paraId="3D5C613F" w14:textId="77777777" w:rsidTr="001C213F">
        <w:trPr>
          <w:trHeight w:val="454"/>
          <w:jc w:val="center"/>
        </w:trPr>
        <w:tc>
          <w:tcPr>
            <w:tcW w:w="15309" w:type="dxa"/>
            <w:gridSpan w:val="4"/>
            <w:vAlign w:val="center"/>
          </w:tcPr>
          <w:p w14:paraId="66E01396" w14:textId="08685657" w:rsidR="008F2E9A" w:rsidRPr="00080DAD" w:rsidRDefault="008F2E9A" w:rsidP="009A6798">
            <w:pPr>
              <w:jc w:val="center"/>
              <w:rPr>
                <w:b/>
                <w:color w:val="0070C0"/>
                <w:sz w:val="28"/>
                <w:szCs w:val="28"/>
              </w:rPr>
            </w:pPr>
            <w:r w:rsidRPr="00C577BD">
              <w:rPr>
                <w:b/>
                <w:color w:val="0070C0"/>
                <w:sz w:val="28"/>
                <w:szCs w:val="28"/>
              </w:rPr>
              <w:t>Performance Range:</w:t>
            </w:r>
            <w:r w:rsidR="00080DAD" w:rsidRPr="004C7782">
              <w:rPr>
                <w:b/>
                <w:color w:val="0070C0"/>
                <w:sz w:val="28"/>
                <w:szCs w:val="28"/>
              </w:rPr>
              <w:t xml:space="preserve"> </w:t>
            </w:r>
            <w:r w:rsidR="008A1C74">
              <w:rPr>
                <w:b/>
                <w:color w:val="0070C0"/>
                <w:sz w:val="28"/>
                <w:szCs w:val="28"/>
              </w:rPr>
              <w:t>70.65</w:t>
            </w:r>
            <w:r w:rsidR="00080DAD">
              <w:rPr>
                <w:b/>
                <w:color w:val="0070C0"/>
                <w:sz w:val="28"/>
                <w:szCs w:val="28"/>
              </w:rPr>
              <w:t xml:space="preserve">% to </w:t>
            </w:r>
            <w:r w:rsidR="008A1C74">
              <w:rPr>
                <w:b/>
                <w:color w:val="0070C0"/>
                <w:sz w:val="28"/>
                <w:szCs w:val="28"/>
              </w:rPr>
              <w:t>96.57</w:t>
            </w:r>
            <w:r w:rsidR="00080DAD">
              <w:rPr>
                <w:b/>
                <w:color w:val="0070C0"/>
                <w:sz w:val="28"/>
                <w:szCs w:val="28"/>
              </w:rPr>
              <w:t>%</w:t>
            </w:r>
            <w:r w:rsidR="005E2139">
              <w:rPr>
                <w:b/>
                <w:color w:val="0070C0"/>
                <w:sz w:val="28"/>
                <w:szCs w:val="28"/>
              </w:rPr>
              <w:t xml:space="preserve">  </w:t>
            </w:r>
            <w:r w:rsidR="005E2139" w:rsidRPr="005E2139">
              <w:rPr>
                <w:b/>
                <w:color w:val="0070C0"/>
                <w:sz w:val="28"/>
                <w:szCs w:val="28"/>
              </w:rPr>
              <w:t>(Highest is best)</w:t>
            </w:r>
          </w:p>
        </w:tc>
      </w:tr>
      <w:tr w:rsidR="00C03994" w:rsidRPr="00C03994" w14:paraId="7F3A52DB" w14:textId="77777777" w:rsidTr="00E83409">
        <w:trPr>
          <w:trHeight w:val="397"/>
          <w:jc w:val="center"/>
        </w:trPr>
        <w:tc>
          <w:tcPr>
            <w:tcW w:w="7508" w:type="dxa"/>
            <w:gridSpan w:val="2"/>
            <w:shd w:val="clear" w:color="auto" w:fill="D9E2F3" w:themeFill="accent5" w:themeFillTint="33"/>
            <w:vAlign w:val="center"/>
          </w:tcPr>
          <w:p w14:paraId="1C0B7C1D" w14:textId="77777777" w:rsidR="00C03994" w:rsidRPr="00C03994" w:rsidRDefault="00C03994" w:rsidP="009A329B">
            <w:pPr>
              <w:jc w:val="center"/>
              <w:rPr>
                <w:b/>
                <w:sz w:val="28"/>
                <w:szCs w:val="28"/>
              </w:rPr>
            </w:pPr>
            <w:r w:rsidRPr="00C03994">
              <w:rPr>
                <w:b/>
                <w:sz w:val="28"/>
                <w:szCs w:val="28"/>
              </w:rPr>
              <w:t>ARGYLL AND BUTE</w:t>
            </w:r>
          </w:p>
        </w:tc>
        <w:tc>
          <w:tcPr>
            <w:tcW w:w="7801" w:type="dxa"/>
            <w:gridSpan w:val="2"/>
            <w:shd w:val="clear" w:color="auto" w:fill="D9E2F3" w:themeFill="accent5" w:themeFillTint="33"/>
            <w:vAlign w:val="center"/>
          </w:tcPr>
          <w:p w14:paraId="7FA53049" w14:textId="77777777" w:rsidR="00C03994" w:rsidRPr="00C03994" w:rsidRDefault="00C03994" w:rsidP="009A329B">
            <w:pPr>
              <w:jc w:val="center"/>
              <w:rPr>
                <w:b/>
                <w:sz w:val="28"/>
                <w:szCs w:val="28"/>
              </w:rPr>
            </w:pPr>
            <w:r w:rsidRPr="00C03994">
              <w:rPr>
                <w:b/>
                <w:sz w:val="28"/>
                <w:szCs w:val="28"/>
              </w:rPr>
              <w:t>SCOTLAND</w:t>
            </w:r>
          </w:p>
        </w:tc>
      </w:tr>
      <w:tr w:rsidR="00C03994" w:rsidRPr="00C03994" w14:paraId="4CC6656E" w14:textId="77777777" w:rsidTr="001C213F">
        <w:trPr>
          <w:trHeight w:val="397"/>
          <w:jc w:val="center"/>
        </w:trPr>
        <w:tc>
          <w:tcPr>
            <w:tcW w:w="7508" w:type="dxa"/>
            <w:gridSpan w:val="2"/>
            <w:vAlign w:val="center"/>
          </w:tcPr>
          <w:p w14:paraId="7B89A2F3" w14:textId="25C4EF52" w:rsidR="00C03994" w:rsidRPr="00A57AD3" w:rsidRDefault="008A1C74" w:rsidP="009A329B">
            <w:pPr>
              <w:jc w:val="center"/>
              <w:rPr>
                <w:b/>
                <w:sz w:val="28"/>
                <w:szCs w:val="28"/>
              </w:rPr>
            </w:pPr>
            <w:r>
              <w:rPr>
                <w:b/>
                <w:sz w:val="28"/>
                <w:szCs w:val="28"/>
              </w:rPr>
              <w:t>74.18</w:t>
            </w:r>
            <w:r w:rsidR="009A6798">
              <w:rPr>
                <w:b/>
                <w:sz w:val="28"/>
                <w:szCs w:val="28"/>
              </w:rPr>
              <w:t>%</w:t>
            </w:r>
          </w:p>
        </w:tc>
        <w:tc>
          <w:tcPr>
            <w:tcW w:w="7801" w:type="dxa"/>
            <w:gridSpan w:val="2"/>
            <w:vAlign w:val="center"/>
          </w:tcPr>
          <w:p w14:paraId="6A3D4D2B" w14:textId="7E518B24" w:rsidR="00C03994" w:rsidRPr="00C03994" w:rsidRDefault="000532D9" w:rsidP="009A329B">
            <w:pPr>
              <w:jc w:val="center"/>
              <w:rPr>
                <w:b/>
                <w:sz w:val="28"/>
                <w:szCs w:val="28"/>
              </w:rPr>
            </w:pPr>
            <w:r>
              <w:rPr>
                <w:b/>
                <w:sz w:val="28"/>
                <w:szCs w:val="28"/>
              </w:rPr>
              <w:t>79.97</w:t>
            </w:r>
            <w:r w:rsidR="009A6798">
              <w:rPr>
                <w:b/>
                <w:sz w:val="28"/>
                <w:szCs w:val="28"/>
              </w:rPr>
              <w:t>%</w:t>
            </w:r>
          </w:p>
        </w:tc>
      </w:tr>
      <w:tr w:rsidR="001C213F" w:rsidRPr="00C03994" w14:paraId="676D66F8" w14:textId="77777777" w:rsidTr="001C213F">
        <w:trPr>
          <w:trHeight w:val="397"/>
          <w:jc w:val="center"/>
        </w:trPr>
        <w:tc>
          <w:tcPr>
            <w:tcW w:w="5949" w:type="dxa"/>
            <w:vAlign w:val="center"/>
          </w:tcPr>
          <w:p w14:paraId="722DFBA2" w14:textId="6190DAC3" w:rsidR="001C213F" w:rsidRPr="00A57AD3" w:rsidRDefault="001C213F" w:rsidP="002432AA">
            <w:pPr>
              <w:jc w:val="center"/>
              <w:rPr>
                <w:b/>
                <w:sz w:val="28"/>
                <w:szCs w:val="28"/>
              </w:rPr>
            </w:pPr>
            <w:r w:rsidRPr="00721B18">
              <w:rPr>
                <w:b/>
                <w:sz w:val="28"/>
                <w:szCs w:val="28"/>
              </w:rPr>
              <w:t>CHANGE 20</w:t>
            </w:r>
            <w:r w:rsidR="002432AA">
              <w:rPr>
                <w:b/>
                <w:sz w:val="28"/>
                <w:szCs w:val="28"/>
              </w:rPr>
              <w:t>15</w:t>
            </w:r>
            <w:r w:rsidRPr="00721B18">
              <w:rPr>
                <w:b/>
                <w:sz w:val="28"/>
                <w:szCs w:val="28"/>
              </w:rPr>
              <w:t>/</w:t>
            </w:r>
            <w:r w:rsidR="002432AA">
              <w:rPr>
                <w:b/>
                <w:sz w:val="28"/>
                <w:szCs w:val="28"/>
              </w:rPr>
              <w:t>16</w:t>
            </w:r>
            <w:r w:rsidRPr="00721B18">
              <w:rPr>
                <w:b/>
                <w:sz w:val="28"/>
                <w:szCs w:val="28"/>
              </w:rPr>
              <w:t xml:space="preserve"> TO </w:t>
            </w:r>
            <w:r>
              <w:rPr>
                <w:b/>
                <w:sz w:val="28"/>
                <w:szCs w:val="28"/>
              </w:rPr>
              <w:t>201</w:t>
            </w:r>
            <w:r w:rsidR="002432AA">
              <w:rPr>
                <w:b/>
                <w:sz w:val="28"/>
                <w:szCs w:val="28"/>
              </w:rPr>
              <w:t>7</w:t>
            </w:r>
            <w:r>
              <w:rPr>
                <w:b/>
                <w:sz w:val="28"/>
                <w:szCs w:val="28"/>
              </w:rPr>
              <w:t>/1</w:t>
            </w:r>
            <w:r w:rsidR="002432AA">
              <w:rPr>
                <w:b/>
                <w:sz w:val="28"/>
                <w:szCs w:val="28"/>
              </w:rPr>
              <w:t>8</w:t>
            </w:r>
          </w:p>
        </w:tc>
        <w:tc>
          <w:tcPr>
            <w:tcW w:w="1559" w:type="dxa"/>
            <w:vAlign w:val="center"/>
          </w:tcPr>
          <w:p w14:paraId="691B6B69" w14:textId="6D133E22" w:rsidR="001C213F" w:rsidRPr="00A57AD3" w:rsidRDefault="000532D9" w:rsidP="009A329B">
            <w:pPr>
              <w:jc w:val="center"/>
              <w:rPr>
                <w:b/>
                <w:sz w:val="28"/>
                <w:szCs w:val="28"/>
              </w:rPr>
            </w:pPr>
            <w:r>
              <w:rPr>
                <w:b/>
                <w:sz w:val="28"/>
                <w:szCs w:val="28"/>
              </w:rPr>
              <w:t>-12.71</w:t>
            </w:r>
            <w:r w:rsidR="00F60D78">
              <w:rPr>
                <w:b/>
                <w:sz w:val="28"/>
                <w:szCs w:val="28"/>
              </w:rPr>
              <w:t xml:space="preserve"> </w:t>
            </w:r>
            <w:r w:rsidR="00F60D78" w:rsidRPr="00C14931">
              <w:rPr>
                <w:b/>
                <w:color w:val="FF0000"/>
                <w:sz w:val="28"/>
                <w:szCs w:val="28"/>
              </w:rPr>
              <w:sym w:font="Wingdings" w:char="F0EA"/>
            </w:r>
          </w:p>
        </w:tc>
        <w:tc>
          <w:tcPr>
            <w:tcW w:w="6095" w:type="dxa"/>
            <w:vAlign w:val="center"/>
          </w:tcPr>
          <w:p w14:paraId="5BF49B32" w14:textId="5C0BCE39" w:rsidR="001C213F" w:rsidRDefault="001C213F" w:rsidP="002432AA">
            <w:pPr>
              <w:jc w:val="center"/>
              <w:rPr>
                <w:b/>
                <w:sz w:val="28"/>
                <w:szCs w:val="28"/>
              </w:rPr>
            </w:pPr>
            <w:r>
              <w:rPr>
                <w:sz w:val="28"/>
                <w:szCs w:val="28"/>
              </w:rPr>
              <w:t>CHANGE 201</w:t>
            </w:r>
            <w:r w:rsidR="002432AA">
              <w:rPr>
                <w:sz w:val="28"/>
                <w:szCs w:val="28"/>
              </w:rPr>
              <w:t>5</w:t>
            </w:r>
            <w:r>
              <w:rPr>
                <w:sz w:val="28"/>
                <w:szCs w:val="28"/>
              </w:rPr>
              <w:t>/1</w:t>
            </w:r>
            <w:r w:rsidR="002432AA">
              <w:rPr>
                <w:sz w:val="28"/>
                <w:szCs w:val="28"/>
              </w:rPr>
              <w:t>6</w:t>
            </w:r>
            <w:r>
              <w:rPr>
                <w:sz w:val="28"/>
                <w:szCs w:val="28"/>
              </w:rPr>
              <w:t xml:space="preserve"> TO 201</w:t>
            </w:r>
            <w:r w:rsidR="002432AA">
              <w:rPr>
                <w:sz w:val="28"/>
                <w:szCs w:val="28"/>
              </w:rPr>
              <w:t>7</w:t>
            </w:r>
            <w:r>
              <w:rPr>
                <w:sz w:val="28"/>
                <w:szCs w:val="28"/>
              </w:rPr>
              <w:t>/1</w:t>
            </w:r>
            <w:r w:rsidR="002432AA">
              <w:rPr>
                <w:sz w:val="28"/>
                <w:szCs w:val="28"/>
              </w:rPr>
              <w:t>8</w:t>
            </w:r>
          </w:p>
        </w:tc>
        <w:tc>
          <w:tcPr>
            <w:tcW w:w="1706" w:type="dxa"/>
            <w:vAlign w:val="center"/>
          </w:tcPr>
          <w:p w14:paraId="51F2B743" w14:textId="6495E3E0" w:rsidR="001C213F" w:rsidRPr="00BB1909" w:rsidRDefault="00F60D78" w:rsidP="009A329B">
            <w:pPr>
              <w:jc w:val="center"/>
              <w:rPr>
                <w:b/>
                <w:sz w:val="28"/>
                <w:szCs w:val="28"/>
                <w:highlight w:val="yellow"/>
              </w:rPr>
            </w:pPr>
            <w:r>
              <w:rPr>
                <w:sz w:val="28"/>
                <w:szCs w:val="28"/>
              </w:rPr>
              <w:t xml:space="preserve">-4.03 </w:t>
            </w:r>
            <w:r w:rsidRPr="00C14931">
              <w:rPr>
                <w:b/>
                <w:color w:val="FF0000"/>
                <w:sz w:val="28"/>
                <w:szCs w:val="28"/>
              </w:rPr>
              <w:sym w:font="Wingdings" w:char="F0EA"/>
            </w:r>
          </w:p>
        </w:tc>
      </w:tr>
      <w:tr w:rsidR="001C213F" w:rsidRPr="00C03994" w14:paraId="269B52A0" w14:textId="77777777" w:rsidTr="001C213F">
        <w:trPr>
          <w:trHeight w:val="397"/>
          <w:jc w:val="center"/>
        </w:trPr>
        <w:tc>
          <w:tcPr>
            <w:tcW w:w="5949" w:type="dxa"/>
            <w:vAlign w:val="center"/>
          </w:tcPr>
          <w:p w14:paraId="6B142BEE" w14:textId="49B28861" w:rsidR="001C213F" w:rsidRPr="00A57AD3" w:rsidRDefault="001C213F" w:rsidP="002432AA">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w:t>
            </w:r>
            <w:r w:rsidR="002432AA">
              <w:rPr>
                <w:b/>
                <w:sz w:val="28"/>
                <w:szCs w:val="28"/>
              </w:rPr>
              <w:t>7</w:t>
            </w:r>
            <w:r>
              <w:rPr>
                <w:b/>
                <w:sz w:val="28"/>
                <w:szCs w:val="28"/>
              </w:rPr>
              <w:t>/1</w:t>
            </w:r>
            <w:r w:rsidR="002432AA">
              <w:rPr>
                <w:b/>
                <w:sz w:val="28"/>
                <w:szCs w:val="28"/>
              </w:rPr>
              <w:t>8</w:t>
            </w:r>
          </w:p>
        </w:tc>
        <w:tc>
          <w:tcPr>
            <w:tcW w:w="1559" w:type="dxa"/>
            <w:vAlign w:val="center"/>
          </w:tcPr>
          <w:p w14:paraId="7FE6429E" w14:textId="39D34E98" w:rsidR="001C213F" w:rsidRPr="00A57AD3" w:rsidRDefault="000532D9" w:rsidP="009A329B">
            <w:pPr>
              <w:jc w:val="center"/>
              <w:rPr>
                <w:b/>
                <w:sz w:val="28"/>
                <w:szCs w:val="28"/>
              </w:rPr>
            </w:pPr>
            <w:r>
              <w:rPr>
                <w:b/>
                <w:sz w:val="28"/>
                <w:szCs w:val="28"/>
              </w:rPr>
              <w:t>-12.12</w:t>
            </w:r>
            <w:r w:rsidR="00F60D78">
              <w:rPr>
                <w:b/>
                <w:sz w:val="28"/>
                <w:szCs w:val="28"/>
              </w:rPr>
              <w:t xml:space="preserve"> </w:t>
            </w:r>
            <w:r w:rsidR="00F60D78" w:rsidRPr="00C14931">
              <w:rPr>
                <w:b/>
                <w:color w:val="FF0000"/>
                <w:sz w:val="28"/>
                <w:szCs w:val="28"/>
              </w:rPr>
              <w:sym w:font="Wingdings" w:char="F0EA"/>
            </w:r>
          </w:p>
        </w:tc>
        <w:tc>
          <w:tcPr>
            <w:tcW w:w="6095" w:type="dxa"/>
            <w:tcBorders>
              <w:bottom w:val="single" w:sz="4" w:space="0" w:color="auto"/>
            </w:tcBorders>
            <w:vAlign w:val="center"/>
          </w:tcPr>
          <w:p w14:paraId="3F969CA9" w14:textId="749383AB" w:rsidR="001C213F" w:rsidRDefault="001C213F" w:rsidP="002432AA">
            <w:pPr>
              <w:jc w:val="center"/>
              <w:rPr>
                <w:b/>
                <w:sz w:val="28"/>
                <w:szCs w:val="28"/>
              </w:rPr>
            </w:pPr>
            <w:r>
              <w:rPr>
                <w:sz w:val="28"/>
                <w:szCs w:val="28"/>
              </w:rPr>
              <w:t xml:space="preserve">CHANGE </w:t>
            </w:r>
            <w:r w:rsidRPr="00903E39">
              <w:rPr>
                <w:sz w:val="28"/>
                <w:szCs w:val="28"/>
              </w:rPr>
              <w:t xml:space="preserve">BASE YEAR </w:t>
            </w:r>
            <w:r>
              <w:rPr>
                <w:sz w:val="28"/>
                <w:szCs w:val="28"/>
              </w:rPr>
              <w:t>TO 201</w:t>
            </w:r>
            <w:r w:rsidR="002432AA">
              <w:rPr>
                <w:sz w:val="28"/>
                <w:szCs w:val="28"/>
              </w:rPr>
              <w:t>7</w:t>
            </w:r>
            <w:r>
              <w:rPr>
                <w:sz w:val="28"/>
                <w:szCs w:val="28"/>
              </w:rPr>
              <w:t>/1</w:t>
            </w:r>
            <w:r w:rsidR="002432AA">
              <w:rPr>
                <w:sz w:val="28"/>
                <w:szCs w:val="28"/>
              </w:rPr>
              <w:t>8</w:t>
            </w:r>
          </w:p>
        </w:tc>
        <w:tc>
          <w:tcPr>
            <w:tcW w:w="1706" w:type="dxa"/>
            <w:tcBorders>
              <w:bottom w:val="single" w:sz="4" w:space="0" w:color="auto"/>
            </w:tcBorders>
            <w:vAlign w:val="center"/>
          </w:tcPr>
          <w:p w14:paraId="1004E394" w14:textId="6740DC41" w:rsidR="001C213F" w:rsidRPr="00BB1909" w:rsidRDefault="00F60D78" w:rsidP="009A329B">
            <w:pPr>
              <w:jc w:val="center"/>
              <w:rPr>
                <w:b/>
                <w:sz w:val="28"/>
                <w:szCs w:val="28"/>
                <w:highlight w:val="yellow"/>
              </w:rPr>
            </w:pPr>
            <w:r>
              <w:rPr>
                <w:sz w:val="28"/>
                <w:szCs w:val="28"/>
              </w:rPr>
              <w:t xml:space="preserve">-5.03 </w:t>
            </w:r>
            <w:r w:rsidRPr="00C14931">
              <w:rPr>
                <w:b/>
                <w:color w:val="FF0000"/>
                <w:sz w:val="28"/>
                <w:szCs w:val="28"/>
              </w:rPr>
              <w:sym w:font="Wingdings" w:char="F0EA"/>
            </w:r>
          </w:p>
        </w:tc>
      </w:tr>
      <w:tr w:rsidR="001C213F" w:rsidRPr="00C03994" w14:paraId="1FE4E59B" w14:textId="77777777" w:rsidTr="00B318EA">
        <w:trPr>
          <w:trHeight w:val="397"/>
          <w:jc w:val="center"/>
        </w:trPr>
        <w:tc>
          <w:tcPr>
            <w:tcW w:w="7508" w:type="dxa"/>
            <w:gridSpan w:val="2"/>
            <w:tcBorders>
              <w:bottom w:val="single" w:sz="4" w:space="0" w:color="auto"/>
            </w:tcBorders>
            <w:vAlign w:val="center"/>
          </w:tcPr>
          <w:p w14:paraId="2FBD7DE5" w14:textId="5981B656" w:rsidR="001C213F" w:rsidRPr="00A57AD3" w:rsidRDefault="001C213F" w:rsidP="009A6798">
            <w:pPr>
              <w:jc w:val="center"/>
              <w:rPr>
                <w:b/>
                <w:sz w:val="28"/>
                <w:szCs w:val="28"/>
              </w:rPr>
            </w:pPr>
            <w:r w:rsidRPr="00A57AD3">
              <w:rPr>
                <w:b/>
                <w:sz w:val="28"/>
                <w:szCs w:val="28"/>
              </w:rPr>
              <w:t>RANK POSITION:</w:t>
            </w:r>
            <w:r w:rsidR="00513443" w:rsidRPr="008A1C74">
              <w:rPr>
                <w:b/>
                <w:sz w:val="28"/>
                <w:szCs w:val="28"/>
              </w:rPr>
              <w:t xml:space="preserve">  </w:t>
            </w:r>
            <w:r w:rsidR="008A1C74">
              <w:rPr>
                <w:b/>
                <w:sz w:val="28"/>
                <w:szCs w:val="28"/>
              </w:rPr>
              <w:t>30</w:t>
            </w:r>
            <w:r w:rsidR="00513443" w:rsidRPr="008A1C74">
              <w:rPr>
                <w:b/>
                <w:sz w:val="28"/>
                <w:szCs w:val="28"/>
              </w:rPr>
              <w:t xml:space="preserve">  </w:t>
            </w:r>
            <w:r w:rsidRPr="00FE159A">
              <w:rPr>
                <w:b/>
                <w:sz w:val="28"/>
                <w:szCs w:val="28"/>
              </w:rPr>
              <w:t xml:space="preserve">RANK MOVEMENT: </w:t>
            </w:r>
            <w:r w:rsidR="008A1C74">
              <w:rPr>
                <w:b/>
                <w:sz w:val="28"/>
                <w:szCs w:val="28"/>
              </w:rPr>
              <w:t>-23</w:t>
            </w:r>
            <w:r w:rsidR="00F60D78">
              <w:rPr>
                <w:b/>
                <w:sz w:val="28"/>
                <w:szCs w:val="28"/>
              </w:rPr>
              <w:t xml:space="preserve"> </w:t>
            </w:r>
            <w:r w:rsidR="00F60D78" w:rsidRPr="00C14931">
              <w:rPr>
                <w:b/>
                <w:color w:val="FF0000"/>
                <w:sz w:val="28"/>
                <w:szCs w:val="28"/>
              </w:rPr>
              <w:sym w:font="Wingdings" w:char="F0EA"/>
            </w:r>
          </w:p>
        </w:tc>
        <w:tc>
          <w:tcPr>
            <w:tcW w:w="7801" w:type="dxa"/>
            <w:gridSpan w:val="2"/>
            <w:tcBorders>
              <w:bottom w:val="nil"/>
            </w:tcBorders>
            <w:shd w:val="clear" w:color="auto" w:fill="D9D9D9" w:themeFill="background1" w:themeFillShade="D9"/>
            <w:vAlign w:val="center"/>
          </w:tcPr>
          <w:p w14:paraId="139395C2" w14:textId="77777777" w:rsidR="001C213F" w:rsidRDefault="001C213F" w:rsidP="009A329B">
            <w:pPr>
              <w:jc w:val="center"/>
              <w:rPr>
                <w:b/>
                <w:sz w:val="28"/>
                <w:szCs w:val="28"/>
              </w:rPr>
            </w:pPr>
          </w:p>
        </w:tc>
      </w:tr>
      <w:tr w:rsidR="001C213F" w:rsidRPr="00C03994" w14:paraId="59D2BAB7" w14:textId="77777777" w:rsidTr="00B318EA">
        <w:trPr>
          <w:trHeight w:val="397"/>
          <w:jc w:val="center"/>
        </w:trPr>
        <w:tc>
          <w:tcPr>
            <w:tcW w:w="7508" w:type="dxa"/>
            <w:gridSpan w:val="2"/>
            <w:tcBorders>
              <w:bottom w:val="nil"/>
            </w:tcBorders>
            <w:shd w:val="clear" w:color="auto" w:fill="D9E2F3" w:themeFill="accent5" w:themeFillTint="33"/>
            <w:vAlign w:val="center"/>
          </w:tcPr>
          <w:p w14:paraId="2B4932A4" w14:textId="1A6F08E8" w:rsidR="001C213F" w:rsidRPr="00A57AD3" w:rsidRDefault="001C213F" w:rsidP="009A6798">
            <w:pPr>
              <w:jc w:val="center"/>
              <w:rPr>
                <w:b/>
                <w:sz w:val="28"/>
                <w:szCs w:val="28"/>
              </w:rPr>
            </w:pPr>
            <w:r>
              <w:rPr>
                <w:b/>
                <w:sz w:val="28"/>
                <w:szCs w:val="28"/>
              </w:rPr>
              <w:t>FAMILY GROUP RANKING 201</w:t>
            </w:r>
            <w:r w:rsidR="009A6798">
              <w:rPr>
                <w:b/>
                <w:sz w:val="28"/>
                <w:szCs w:val="28"/>
              </w:rPr>
              <w:t>8</w:t>
            </w:r>
            <w:r>
              <w:rPr>
                <w:b/>
                <w:sz w:val="28"/>
                <w:szCs w:val="28"/>
              </w:rPr>
              <w:t>/1</w:t>
            </w:r>
            <w:r w:rsidR="009A6798">
              <w:rPr>
                <w:b/>
                <w:sz w:val="28"/>
                <w:szCs w:val="28"/>
              </w:rPr>
              <w:t>9</w:t>
            </w:r>
          </w:p>
        </w:tc>
        <w:tc>
          <w:tcPr>
            <w:tcW w:w="7801" w:type="dxa"/>
            <w:gridSpan w:val="2"/>
            <w:tcBorders>
              <w:top w:val="nil"/>
              <w:bottom w:val="nil"/>
            </w:tcBorders>
            <w:shd w:val="clear" w:color="auto" w:fill="D9D9D9" w:themeFill="background1" w:themeFillShade="D9"/>
            <w:vAlign w:val="center"/>
          </w:tcPr>
          <w:p w14:paraId="3228946C" w14:textId="77777777" w:rsidR="001C213F" w:rsidRDefault="001C213F" w:rsidP="009A329B">
            <w:pPr>
              <w:jc w:val="center"/>
              <w:rPr>
                <w:b/>
                <w:sz w:val="28"/>
                <w:szCs w:val="28"/>
              </w:rPr>
            </w:pPr>
          </w:p>
        </w:tc>
      </w:tr>
      <w:tr w:rsidR="001C213F" w:rsidRPr="00C03994" w14:paraId="0A22534C" w14:textId="77777777" w:rsidTr="00B318EA">
        <w:trPr>
          <w:trHeight w:val="397"/>
          <w:jc w:val="center"/>
        </w:trPr>
        <w:tc>
          <w:tcPr>
            <w:tcW w:w="7508" w:type="dxa"/>
            <w:gridSpan w:val="2"/>
            <w:tcBorders>
              <w:top w:val="nil"/>
            </w:tcBorders>
            <w:shd w:val="clear" w:color="auto" w:fill="D9E2F3" w:themeFill="accent5" w:themeFillTint="33"/>
            <w:vAlign w:val="center"/>
          </w:tcPr>
          <w:p w14:paraId="0451E343" w14:textId="1C6AE6BF" w:rsidR="001C213F" w:rsidRPr="00A57AD3" w:rsidRDefault="001C213F" w:rsidP="009A6798">
            <w:pPr>
              <w:jc w:val="center"/>
              <w:rPr>
                <w:b/>
                <w:sz w:val="28"/>
                <w:szCs w:val="28"/>
              </w:rPr>
            </w:pPr>
            <w:r>
              <w:rPr>
                <w:b/>
                <w:sz w:val="28"/>
                <w:szCs w:val="28"/>
              </w:rPr>
              <w:t>RANK POSITION:</w:t>
            </w:r>
            <w:r w:rsidR="00F241D3">
              <w:rPr>
                <w:b/>
                <w:sz w:val="28"/>
                <w:szCs w:val="28"/>
              </w:rPr>
              <w:t xml:space="preserve">  </w:t>
            </w:r>
            <w:r w:rsidR="000532D9">
              <w:rPr>
                <w:b/>
                <w:sz w:val="28"/>
                <w:szCs w:val="28"/>
              </w:rPr>
              <w:t>7</w:t>
            </w:r>
            <w:r w:rsidR="00F241D3">
              <w:rPr>
                <w:b/>
                <w:sz w:val="28"/>
                <w:szCs w:val="28"/>
              </w:rPr>
              <w:t xml:space="preserve">  RANK MOVEMENT: </w:t>
            </w:r>
            <w:r w:rsidR="000532D9">
              <w:rPr>
                <w:b/>
                <w:sz w:val="28"/>
                <w:szCs w:val="28"/>
              </w:rPr>
              <w:t>-4</w:t>
            </w:r>
            <w:r w:rsidR="00F60D78">
              <w:rPr>
                <w:b/>
                <w:sz w:val="28"/>
                <w:szCs w:val="28"/>
              </w:rPr>
              <w:t xml:space="preserve"> </w:t>
            </w:r>
            <w:r w:rsidR="00F60D78" w:rsidRPr="00C14931">
              <w:rPr>
                <w:b/>
                <w:color w:val="FF0000"/>
                <w:sz w:val="28"/>
                <w:szCs w:val="28"/>
              </w:rPr>
              <w:sym w:font="Wingdings" w:char="F0EA"/>
            </w:r>
          </w:p>
        </w:tc>
        <w:tc>
          <w:tcPr>
            <w:tcW w:w="7801" w:type="dxa"/>
            <w:gridSpan w:val="2"/>
            <w:tcBorders>
              <w:top w:val="nil"/>
            </w:tcBorders>
            <w:shd w:val="clear" w:color="auto" w:fill="D9D9D9" w:themeFill="background1" w:themeFillShade="D9"/>
            <w:vAlign w:val="center"/>
          </w:tcPr>
          <w:p w14:paraId="54884094" w14:textId="77777777" w:rsidR="001C213F" w:rsidRDefault="001C213F" w:rsidP="009A329B">
            <w:pPr>
              <w:jc w:val="center"/>
              <w:rPr>
                <w:b/>
                <w:sz w:val="28"/>
                <w:szCs w:val="28"/>
              </w:rPr>
            </w:pPr>
          </w:p>
        </w:tc>
      </w:tr>
      <w:tr w:rsidR="001C213F" w:rsidRPr="00C03994" w14:paraId="00108B40" w14:textId="77777777" w:rsidTr="00F03F11">
        <w:trPr>
          <w:trHeight w:val="397"/>
          <w:jc w:val="center"/>
        </w:trPr>
        <w:tc>
          <w:tcPr>
            <w:tcW w:w="15309" w:type="dxa"/>
            <w:gridSpan w:val="4"/>
            <w:vAlign w:val="center"/>
          </w:tcPr>
          <w:p w14:paraId="61E242CE" w14:textId="77777777" w:rsidR="001C213F" w:rsidRPr="001C213F" w:rsidRDefault="001C213F" w:rsidP="001C213F">
            <w:pPr>
              <w:rPr>
                <w:sz w:val="6"/>
                <w:szCs w:val="6"/>
              </w:rPr>
            </w:pPr>
          </w:p>
          <w:p w14:paraId="4029BB84" w14:textId="77777777" w:rsidR="001C213F" w:rsidRPr="00C03994" w:rsidRDefault="001C213F" w:rsidP="000F4CDF">
            <w:pPr>
              <w:spacing w:after="120"/>
              <w:rPr>
                <w:b/>
                <w:sz w:val="28"/>
                <w:szCs w:val="28"/>
              </w:rPr>
            </w:pPr>
            <w:r w:rsidRPr="00C03994">
              <w:rPr>
                <w:b/>
                <w:sz w:val="28"/>
                <w:szCs w:val="28"/>
              </w:rPr>
              <w:t>TELLING OUR STORY:</w:t>
            </w:r>
          </w:p>
          <w:p w14:paraId="2B825B60" w14:textId="49D104E9" w:rsidR="002432AA" w:rsidRPr="001453C3" w:rsidRDefault="002432AA" w:rsidP="000F4CDF">
            <w:pPr>
              <w:spacing w:after="120"/>
              <w:rPr>
                <w:rFonts w:cstheme="minorHAnsi"/>
                <w:sz w:val="24"/>
                <w:szCs w:val="24"/>
              </w:rPr>
            </w:pPr>
            <w:r w:rsidRPr="001453C3">
              <w:rPr>
                <w:rFonts w:cstheme="minorHAnsi"/>
                <w:sz w:val="24"/>
                <w:szCs w:val="24"/>
              </w:rPr>
              <w:t xml:space="preserve">This indicator uses information from the Scottish Health and Care Experience Survey. As the survey is run every two years, the information reported in the 2018/19 LGBF is the same as that which was reported in 2017/18. </w:t>
            </w:r>
          </w:p>
          <w:p w14:paraId="42FD075E" w14:textId="77777777" w:rsidR="002432AA" w:rsidRPr="00EA3728" w:rsidRDefault="002432AA" w:rsidP="009A6798">
            <w:pPr>
              <w:rPr>
                <w:rFonts w:ascii="Arial" w:hAnsi="Arial" w:cs="Arial"/>
                <w:szCs w:val="28"/>
              </w:rPr>
            </w:pPr>
          </w:p>
        </w:tc>
      </w:tr>
      <w:tr w:rsidR="001C213F" w:rsidRPr="00C03994" w14:paraId="3C347E88" w14:textId="77777777" w:rsidTr="00F03F11">
        <w:trPr>
          <w:trHeight w:val="397"/>
          <w:jc w:val="center"/>
        </w:trPr>
        <w:tc>
          <w:tcPr>
            <w:tcW w:w="15309" w:type="dxa"/>
            <w:gridSpan w:val="4"/>
            <w:vAlign w:val="center"/>
          </w:tcPr>
          <w:p w14:paraId="15BAD185" w14:textId="77777777" w:rsidR="001C213F" w:rsidRPr="001C213F" w:rsidRDefault="001C213F" w:rsidP="001C213F">
            <w:pPr>
              <w:rPr>
                <w:sz w:val="6"/>
                <w:szCs w:val="6"/>
              </w:rPr>
            </w:pPr>
          </w:p>
          <w:p w14:paraId="3B04A8CB" w14:textId="77777777" w:rsidR="001C213F" w:rsidRDefault="001C213F" w:rsidP="000F4CDF">
            <w:pPr>
              <w:spacing w:after="120"/>
              <w:rPr>
                <w:b/>
                <w:sz w:val="28"/>
                <w:szCs w:val="28"/>
              </w:rPr>
            </w:pPr>
            <w:r>
              <w:rPr>
                <w:b/>
                <w:sz w:val="28"/>
                <w:szCs w:val="28"/>
              </w:rPr>
              <w:t>LOOKING FORWARD - EXPECTED IMPACT ON INDICATOR</w:t>
            </w:r>
            <w:r w:rsidRPr="00C03994">
              <w:rPr>
                <w:b/>
                <w:sz w:val="28"/>
                <w:szCs w:val="28"/>
              </w:rPr>
              <w:t>:</w:t>
            </w:r>
          </w:p>
          <w:p w14:paraId="05C6F1BC" w14:textId="1A6F0D24" w:rsidR="00F25D60" w:rsidRPr="006805F1" w:rsidRDefault="006805F1" w:rsidP="000F4CDF">
            <w:pPr>
              <w:spacing w:after="120"/>
              <w:rPr>
                <w:rFonts w:cstheme="minorHAnsi"/>
                <w:sz w:val="24"/>
                <w:szCs w:val="24"/>
              </w:rPr>
            </w:pPr>
            <w:r w:rsidRPr="006805F1">
              <w:rPr>
                <w:rFonts w:cstheme="minorHAnsi"/>
                <w:sz w:val="24"/>
                <w:szCs w:val="24"/>
              </w:rPr>
              <w:t>N</w:t>
            </w:r>
            <w:r w:rsidR="00601DB2" w:rsidRPr="006805F1">
              <w:rPr>
                <w:rFonts w:cstheme="minorHAnsi"/>
                <w:sz w:val="24"/>
                <w:szCs w:val="24"/>
              </w:rPr>
              <w:t>o</w:t>
            </w:r>
            <w:r>
              <w:rPr>
                <w:rFonts w:cstheme="minorHAnsi"/>
                <w:sz w:val="24"/>
                <w:szCs w:val="24"/>
              </w:rPr>
              <w:t xml:space="preserve"> additional comment</w:t>
            </w:r>
            <w:r w:rsidRPr="006805F1">
              <w:rPr>
                <w:rFonts w:cstheme="minorHAnsi"/>
                <w:sz w:val="24"/>
                <w:szCs w:val="24"/>
              </w:rPr>
              <w:t>.</w:t>
            </w:r>
          </w:p>
        </w:tc>
      </w:tr>
    </w:tbl>
    <w:p w14:paraId="2B75768B" w14:textId="77777777" w:rsidR="009A6798" w:rsidRDefault="009A6798">
      <w:r>
        <w:br w:type="page"/>
      </w:r>
    </w:p>
    <w:p w14:paraId="784BF48F" w14:textId="38912790" w:rsidR="009A6798" w:rsidRDefault="009A6798">
      <w:pPr>
        <w:rPr>
          <w:rFonts w:eastAsiaTheme="majorEastAsia" w:cstheme="minorHAnsi"/>
        </w:rPr>
      </w:pPr>
    </w:p>
    <w:p w14:paraId="1FA6FB39" w14:textId="23988BF9" w:rsidR="00C03994" w:rsidRPr="002D0E83" w:rsidRDefault="009A6798" w:rsidP="009A329B">
      <w:pPr>
        <w:pStyle w:val="Heading2"/>
        <w:spacing w:before="0" w:line="240" w:lineRule="auto"/>
        <w:jc w:val="center"/>
        <w:rPr>
          <w:b/>
          <w:color w:val="auto"/>
          <w:sz w:val="52"/>
          <w:szCs w:val="52"/>
        </w:rPr>
      </w:pPr>
      <w:bookmarkStart w:id="32" w:name="_Toc56757710"/>
      <w:r>
        <w:rPr>
          <w:b/>
          <w:color w:val="auto"/>
          <w:sz w:val="52"/>
          <w:szCs w:val="52"/>
        </w:rPr>
        <w:t>C</w:t>
      </w:r>
      <w:r w:rsidR="00C03994" w:rsidRPr="002D0E83">
        <w:rPr>
          <w:b/>
          <w:color w:val="auto"/>
          <w:sz w:val="52"/>
          <w:szCs w:val="52"/>
        </w:rPr>
        <w:t>OMMUNITY AND CULTURE</w:t>
      </w:r>
      <w:bookmarkEnd w:id="32"/>
    </w:p>
    <w:tbl>
      <w:tblPr>
        <w:tblStyle w:val="TableGrid2"/>
        <w:tblW w:w="15309" w:type="dxa"/>
        <w:jc w:val="center"/>
        <w:tblLook w:val="04A0" w:firstRow="1" w:lastRow="0" w:firstColumn="1" w:lastColumn="0" w:noHBand="0" w:noVBand="1"/>
      </w:tblPr>
      <w:tblGrid>
        <w:gridCol w:w="5949"/>
        <w:gridCol w:w="1559"/>
        <w:gridCol w:w="6095"/>
        <w:gridCol w:w="1706"/>
      </w:tblGrid>
      <w:tr w:rsidR="00912400" w:rsidRPr="005D65E6" w14:paraId="681F3759" w14:textId="77777777" w:rsidTr="00912400">
        <w:trPr>
          <w:trHeight w:val="794"/>
          <w:jc w:val="center"/>
        </w:trPr>
        <w:tc>
          <w:tcPr>
            <w:tcW w:w="15309" w:type="dxa"/>
            <w:gridSpan w:val="4"/>
            <w:vAlign w:val="center"/>
          </w:tcPr>
          <w:p w14:paraId="38B3E32E" w14:textId="21B18A63" w:rsidR="00912400" w:rsidRPr="005D65E6" w:rsidRDefault="00E57AF3" w:rsidP="005D65E6">
            <w:pPr>
              <w:rPr>
                <w:b/>
                <w:sz w:val="32"/>
              </w:rPr>
            </w:pPr>
            <w:r>
              <w:rPr>
                <w:b/>
                <w:sz w:val="32"/>
              </w:rPr>
              <w:t>S</w:t>
            </w:r>
            <w:r w:rsidR="00912400" w:rsidRPr="005D65E6">
              <w:rPr>
                <w:b/>
                <w:sz w:val="32"/>
              </w:rPr>
              <w:t>ERVICE: COMMUNITY AND CULTURE</w:t>
            </w:r>
          </w:p>
        </w:tc>
      </w:tr>
      <w:tr w:rsidR="00C03994" w:rsidRPr="00196B10" w14:paraId="2CAB9EF5" w14:textId="77777777" w:rsidTr="00C029B7">
        <w:trPr>
          <w:trHeight w:val="567"/>
          <w:jc w:val="center"/>
        </w:trPr>
        <w:tc>
          <w:tcPr>
            <w:tcW w:w="15309" w:type="dxa"/>
            <w:gridSpan w:val="4"/>
            <w:vAlign w:val="center"/>
          </w:tcPr>
          <w:p w14:paraId="109B30CB" w14:textId="77777777" w:rsidR="00C03994" w:rsidRPr="00196B10" w:rsidRDefault="008F6CB7" w:rsidP="009A329B">
            <w:pPr>
              <w:pStyle w:val="Heading1"/>
              <w:spacing w:before="0"/>
              <w:outlineLvl w:val="0"/>
              <w:rPr>
                <w:b/>
                <w:color w:val="auto"/>
              </w:rPr>
            </w:pPr>
            <w:bookmarkStart w:id="33" w:name="_Toc56757711"/>
            <w:r w:rsidRPr="00196B10">
              <w:rPr>
                <w:b/>
                <w:color w:val="auto"/>
              </w:rPr>
              <w:t>INDICATOR REF: C&amp;L5a - Percentage</w:t>
            </w:r>
            <w:r w:rsidR="00C03994" w:rsidRPr="00196B10">
              <w:rPr>
                <w:b/>
                <w:color w:val="auto"/>
              </w:rPr>
              <w:t xml:space="preserve"> of adults satisfied with libraries</w:t>
            </w:r>
            <w:bookmarkEnd w:id="33"/>
            <w:r w:rsidR="00CA7DF1" w:rsidRPr="00196B10">
              <w:rPr>
                <w:b/>
                <w:color w:val="auto"/>
              </w:rPr>
              <w:t xml:space="preserve"> </w:t>
            </w:r>
            <w:r w:rsidR="00CA7DF1" w:rsidRPr="00196B10">
              <w:rPr>
                <w:b/>
                <w:color w:val="auto"/>
              </w:rPr>
              <w:tab/>
            </w:r>
          </w:p>
        </w:tc>
      </w:tr>
      <w:tr w:rsidR="008F2E9A" w:rsidRPr="00C03994" w14:paraId="7F8EF2AA" w14:textId="77777777" w:rsidTr="00C029B7">
        <w:trPr>
          <w:trHeight w:val="454"/>
          <w:jc w:val="center"/>
        </w:trPr>
        <w:tc>
          <w:tcPr>
            <w:tcW w:w="15309" w:type="dxa"/>
            <w:gridSpan w:val="4"/>
            <w:vAlign w:val="center"/>
          </w:tcPr>
          <w:p w14:paraId="4EFDF438" w14:textId="3E7C0FCA" w:rsidR="008F2E9A" w:rsidRPr="006F0AC0" w:rsidRDefault="008F2E9A" w:rsidP="00E57AF3">
            <w:pPr>
              <w:jc w:val="center"/>
              <w:rPr>
                <w:b/>
                <w:color w:val="0070C0"/>
                <w:sz w:val="28"/>
                <w:szCs w:val="28"/>
              </w:rPr>
            </w:pPr>
            <w:r w:rsidRPr="00C577BD">
              <w:rPr>
                <w:b/>
                <w:color w:val="0070C0"/>
                <w:sz w:val="28"/>
                <w:szCs w:val="28"/>
              </w:rPr>
              <w:t>Performance Range:</w:t>
            </w:r>
            <w:r w:rsidR="006F0AC0" w:rsidRPr="004C7782">
              <w:rPr>
                <w:b/>
                <w:color w:val="0070C0"/>
                <w:sz w:val="28"/>
                <w:szCs w:val="28"/>
              </w:rPr>
              <w:t xml:space="preserve"> </w:t>
            </w:r>
            <w:r w:rsidR="00BB1909">
              <w:rPr>
                <w:b/>
                <w:color w:val="0070C0"/>
                <w:sz w:val="28"/>
                <w:szCs w:val="28"/>
              </w:rPr>
              <w:t>52.6</w:t>
            </w:r>
            <w:r w:rsidR="006F0AC0">
              <w:rPr>
                <w:b/>
                <w:color w:val="0070C0"/>
                <w:sz w:val="28"/>
                <w:szCs w:val="28"/>
              </w:rPr>
              <w:t xml:space="preserve">% to </w:t>
            </w:r>
            <w:r w:rsidR="00BB1909">
              <w:rPr>
                <w:b/>
                <w:color w:val="0070C0"/>
                <w:sz w:val="28"/>
                <w:szCs w:val="28"/>
              </w:rPr>
              <w:t>91.0</w:t>
            </w:r>
            <w:r w:rsidR="006F0AC0">
              <w:rPr>
                <w:b/>
                <w:color w:val="0070C0"/>
                <w:sz w:val="28"/>
                <w:szCs w:val="28"/>
              </w:rPr>
              <w:t>%</w:t>
            </w:r>
            <w:r w:rsidR="005E2139">
              <w:rPr>
                <w:b/>
                <w:color w:val="0070C0"/>
                <w:sz w:val="28"/>
                <w:szCs w:val="28"/>
              </w:rPr>
              <w:t xml:space="preserve">  </w:t>
            </w:r>
            <w:r w:rsidR="005E2139" w:rsidRPr="005E2139">
              <w:rPr>
                <w:b/>
                <w:color w:val="0070C0"/>
                <w:sz w:val="28"/>
                <w:szCs w:val="28"/>
              </w:rPr>
              <w:t>(Highest is best)</w:t>
            </w:r>
          </w:p>
        </w:tc>
      </w:tr>
      <w:tr w:rsidR="00C03994" w:rsidRPr="00C03994" w14:paraId="6B040ADE" w14:textId="77777777" w:rsidTr="00E83409">
        <w:trPr>
          <w:trHeight w:val="397"/>
          <w:jc w:val="center"/>
        </w:trPr>
        <w:tc>
          <w:tcPr>
            <w:tcW w:w="7508" w:type="dxa"/>
            <w:gridSpan w:val="2"/>
            <w:shd w:val="clear" w:color="auto" w:fill="D9E2F3" w:themeFill="accent5" w:themeFillTint="33"/>
            <w:vAlign w:val="center"/>
          </w:tcPr>
          <w:p w14:paraId="2A005A4C" w14:textId="77777777" w:rsidR="00C03994" w:rsidRPr="00C03994" w:rsidRDefault="00C03994" w:rsidP="009A329B">
            <w:pPr>
              <w:jc w:val="center"/>
              <w:rPr>
                <w:b/>
                <w:sz w:val="28"/>
                <w:szCs w:val="28"/>
              </w:rPr>
            </w:pPr>
            <w:r w:rsidRPr="00C03994">
              <w:rPr>
                <w:b/>
                <w:sz w:val="28"/>
                <w:szCs w:val="28"/>
              </w:rPr>
              <w:t>ARGYLL AND BUTE</w:t>
            </w:r>
          </w:p>
        </w:tc>
        <w:tc>
          <w:tcPr>
            <w:tcW w:w="7801" w:type="dxa"/>
            <w:gridSpan w:val="2"/>
            <w:shd w:val="clear" w:color="auto" w:fill="D9E2F3" w:themeFill="accent5" w:themeFillTint="33"/>
            <w:vAlign w:val="center"/>
          </w:tcPr>
          <w:p w14:paraId="6A94D6DF" w14:textId="77777777" w:rsidR="00C03994" w:rsidRPr="00C03994" w:rsidRDefault="00C03994" w:rsidP="009A329B">
            <w:pPr>
              <w:jc w:val="center"/>
              <w:rPr>
                <w:b/>
                <w:sz w:val="28"/>
                <w:szCs w:val="28"/>
              </w:rPr>
            </w:pPr>
            <w:r w:rsidRPr="00C03994">
              <w:rPr>
                <w:b/>
                <w:sz w:val="28"/>
                <w:szCs w:val="28"/>
              </w:rPr>
              <w:t>SCOTLAND</w:t>
            </w:r>
          </w:p>
        </w:tc>
      </w:tr>
      <w:tr w:rsidR="00C03994" w:rsidRPr="00C03994" w14:paraId="0211FF6E" w14:textId="77777777" w:rsidTr="00C029B7">
        <w:trPr>
          <w:trHeight w:val="397"/>
          <w:jc w:val="center"/>
        </w:trPr>
        <w:tc>
          <w:tcPr>
            <w:tcW w:w="7508" w:type="dxa"/>
            <w:gridSpan w:val="2"/>
            <w:vAlign w:val="center"/>
          </w:tcPr>
          <w:p w14:paraId="1521C908" w14:textId="38769585" w:rsidR="00C03994" w:rsidRPr="003B5F3E" w:rsidRDefault="00BB1909" w:rsidP="009A329B">
            <w:pPr>
              <w:jc w:val="center"/>
              <w:rPr>
                <w:b/>
                <w:sz w:val="28"/>
                <w:szCs w:val="28"/>
              </w:rPr>
            </w:pPr>
            <w:r>
              <w:rPr>
                <w:b/>
                <w:sz w:val="28"/>
                <w:szCs w:val="28"/>
              </w:rPr>
              <w:t>75.9</w:t>
            </w:r>
            <w:r w:rsidR="00E57AF3">
              <w:rPr>
                <w:b/>
                <w:sz w:val="28"/>
                <w:szCs w:val="28"/>
              </w:rPr>
              <w:t>%</w:t>
            </w:r>
          </w:p>
        </w:tc>
        <w:tc>
          <w:tcPr>
            <w:tcW w:w="7801" w:type="dxa"/>
            <w:gridSpan w:val="2"/>
            <w:vAlign w:val="center"/>
          </w:tcPr>
          <w:p w14:paraId="4C29FE6A" w14:textId="4B2D535C" w:rsidR="00C03994" w:rsidRPr="00C03994" w:rsidRDefault="00BB1909" w:rsidP="009A329B">
            <w:pPr>
              <w:jc w:val="center"/>
              <w:rPr>
                <w:b/>
                <w:sz w:val="28"/>
                <w:szCs w:val="28"/>
              </w:rPr>
            </w:pPr>
            <w:r>
              <w:rPr>
                <w:b/>
                <w:sz w:val="28"/>
                <w:szCs w:val="28"/>
              </w:rPr>
              <w:t>72.37</w:t>
            </w:r>
            <w:r w:rsidR="00E57AF3">
              <w:rPr>
                <w:b/>
                <w:sz w:val="28"/>
                <w:szCs w:val="28"/>
              </w:rPr>
              <w:t>%</w:t>
            </w:r>
          </w:p>
        </w:tc>
      </w:tr>
      <w:tr w:rsidR="00C029B7" w:rsidRPr="00C03994" w14:paraId="5C582709" w14:textId="77777777" w:rsidTr="00C029B7">
        <w:trPr>
          <w:trHeight w:val="397"/>
          <w:jc w:val="center"/>
        </w:trPr>
        <w:tc>
          <w:tcPr>
            <w:tcW w:w="5949" w:type="dxa"/>
            <w:vAlign w:val="center"/>
          </w:tcPr>
          <w:p w14:paraId="0780C70D" w14:textId="16ECA592" w:rsidR="00C029B7" w:rsidRPr="003B5F3E" w:rsidRDefault="00C029B7" w:rsidP="008A46DD">
            <w:pPr>
              <w:jc w:val="center"/>
              <w:rPr>
                <w:b/>
                <w:sz w:val="28"/>
                <w:szCs w:val="28"/>
              </w:rPr>
            </w:pPr>
            <w:r w:rsidRPr="00721B18">
              <w:rPr>
                <w:b/>
                <w:sz w:val="28"/>
                <w:szCs w:val="28"/>
              </w:rPr>
              <w:t>CHANGE 201</w:t>
            </w:r>
            <w:r w:rsidR="008A46DD">
              <w:rPr>
                <w:b/>
                <w:sz w:val="28"/>
                <w:szCs w:val="28"/>
              </w:rPr>
              <w:t>5</w:t>
            </w:r>
            <w:r w:rsidRPr="00721B18">
              <w:rPr>
                <w:b/>
                <w:sz w:val="28"/>
                <w:szCs w:val="28"/>
              </w:rPr>
              <w:t>/1</w:t>
            </w:r>
            <w:r w:rsidR="008A46DD">
              <w:rPr>
                <w:b/>
                <w:sz w:val="28"/>
                <w:szCs w:val="28"/>
              </w:rPr>
              <w:t>8</w:t>
            </w:r>
            <w:r w:rsidRPr="00721B18">
              <w:rPr>
                <w:b/>
                <w:sz w:val="28"/>
                <w:szCs w:val="28"/>
              </w:rPr>
              <w:t xml:space="preserve"> TO </w:t>
            </w:r>
            <w:r>
              <w:rPr>
                <w:b/>
                <w:sz w:val="28"/>
                <w:szCs w:val="28"/>
              </w:rPr>
              <w:t>201</w:t>
            </w:r>
            <w:r w:rsidR="008A46DD">
              <w:rPr>
                <w:b/>
                <w:sz w:val="28"/>
                <w:szCs w:val="28"/>
              </w:rPr>
              <w:t>6</w:t>
            </w:r>
            <w:r>
              <w:rPr>
                <w:b/>
                <w:sz w:val="28"/>
                <w:szCs w:val="28"/>
              </w:rPr>
              <w:t>/1</w:t>
            </w:r>
            <w:r w:rsidR="00E57AF3">
              <w:rPr>
                <w:b/>
                <w:sz w:val="28"/>
                <w:szCs w:val="28"/>
              </w:rPr>
              <w:t>9</w:t>
            </w:r>
          </w:p>
        </w:tc>
        <w:tc>
          <w:tcPr>
            <w:tcW w:w="1559" w:type="dxa"/>
            <w:vAlign w:val="center"/>
          </w:tcPr>
          <w:p w14:paraId="7260F804" w14:textId="4E097B20" w:rsidR="00C029B7" w:rsidRPr="003B5F3E" w:rsidRDefault="00BB1909" w:rsidP="00254956">
            <w:pPr>
              <w:jc w:val="center"/>
              <w:rPr>
                <w:b/>
                <w:sz w:val="28"/>
                <w:szCs w:val="28"/>
              </w:rPr>
            </w:pPr>
            <w:r>
              <w:rPr>
                <w:b/>
                <w:sz w:val="28"/>
                <w:szCs w:val="28"/>
              </w:rPr>
              <w:t>-2.77</w:t>
            </w:r>
            <w:r w:rsidR="00EF7473">
              <w:rPr>
                <w:b/>
                <w:sz w:val="28"/>
                <w:szCs w:val="28"/>
              </w:rPr>
              <w:t xml:space="preserve"> </w:t>
            </w:r>
            <w:r w:rsidR="00EF7473" w:rsidRPr="00C14931">
              <w:rPr>
                <w:b/>
                <w:color w:val="FF0000"/>
                <w:sz w:val="28"/>
                <w:szCs w:val="28"/>
              </w:rPr>
              <w:sym w:font="Wingdings" w:char="F0EA"/>
            </w:r>
          </w:p>
        </w:tc>
        <w:tc>
          <w:tcPr>
            <w:tcW w:w="6095" w:type="dxa"/>
            <w:vAlign w:val="center"/>
          </w:tcPr>
          <w:p w14:paraId="0D17AE6D" w14:textId="682DC368" w:rsidR="00C029B7" w:rsidRDefault="00C029B7" w:rsidP="008A46DD">
            <w:pPr>
              <w:jc w:val="center"/>
              <w:rPr>
                <w:b/>
                <w:sz w:val="28"/>
                <w:szCs w:val="28"/>
              </w:rPr>
            </w:pPr>
            <w:r>
              <w:rPr>
                <w:sz w:val="28"/>
                <w:szCs w:val="28"/>
              </w:rPr>
              <w:t>CHANGE 201</w:t>
            </w:r>
            <w:r w:rsidR="008A46DD">
              <w:rPr>
                <w:sz w:val="28"/>
                <w:szCs w:val="28"/>
              </w:rPr>
              <w:t>5</w:t>
            </w:r>
            <w:r>
              <w:rPr>
                <w:sz w:val="28"/>
                <w:szCs w:val="28"/>
              </w:rPr>
              <w:t>/1</w:t>
            </w:r>
            <w:r w:rsidR="00E57AF3">
              <w:rPr>
                <w:sz w:val="28"/>
                <w:szCs w:val="28"/>
              </w:rPr>
              <w:t>8</w:t>
            </w:r>
            <w:r>
              <w:rPr>
                <w:sz w:val="28"/>
                <w:szCs w:val="28"/>
              </w:rPr>
              <w:t xml:space="preserve"> TO 201</w:t>
            </w:r>
            <w:r w:rsidR="008A46DD">
              <w:rPr>
                <w:sz w:val="28"/>
                <w:szCs w:val="28"/>
              </w:rPr>
              <w:t>6</w:t>
            </w:r>
            <w:r>
              <w:rPr>
                <w:sz w:val="28"/>
                <w:szCs w:val="28"/>
              </w:rPr>
              <w:t>/1</w:t>
            </w:r>
            <w:r w:rsidR="00E57AF3">
              <w:rPr>
                <w:sz w:val="28"/>
                <w:szCs w:val="28"/>
              </w:rPr>
              <w:t>9</w:t>
            </w:r>
          </w:p>
        </w:tc>
        <w:tc>
          <w:tcPr>
            <w:tcW w:w="1706" w:type="dxa"/>
            <w:vAlign w:val="center"/>
          </w:tcPr>
          <w:p w14:paraId="608B5566" w14:textId="18EA2F0B" w:rsidR="00C029B7" w:rsidRPr="00CD0F94" w:rsidRDefault="00CD0F94" w:rsidP="009A329B">
            <w:pPr>
              <w:jc w:val="center"/>
              <w:rPr>
                <w:sz w:val="28"/>
                <w:szCs w:val="28"/>
              </w:rPr>
            </w:pPr>
            <w:r w:rsidRPr="00CD0F94">
              <w:rPr>
                <w:sz w:val="28"/>
                <w:szCs w:val="28"/>
              </w:rPr>
              <w:t>-10.13</w:t>
            </w:r>
            <w:r w:rsidR="00EF7473">
              <w:rPr>
                <w:sz w:val="28"/>
                <w:szCs w:val="28"/>
              </w:rPr>
              <w:t xml:space="preserve"> </w:t>
            </w:r>
            <w:r w:rsidR="00EF7473" w:rsidRPr="00C14931">
              <w:rPr>
                <w:b/>
                <w:color w:val="FF0000"/>
                <w:sz w:val="28"/>
                <w:szCs w:val="28"/>
              </w:rPr>
              <w:sym w:font="Wingdings" w:char="F0EA"/>
            </w:r>
          </w:p>
        </w:tc>
      </w:tr>
      <w:tr w:rsidR="00C029B7" w:rsidRPr="00C03994" w14:paraId="6BB24F20" w14:textId="77777777" w:rsidTr="00C029B7">
        <w:trPr>
          <w:trHeight w:val="397"/>
          <w:jc w:val="center"/>
        </w:trPr>
        <w:tc>
          <w:tcPr>
            <w:tcW w:w="5949" w:type="dxa"/>
            <w:vAlign w:val="center"/>
          </w:tcPr>
          <w:p w14:paraId="3CDE5D36" w14:textId="6A01D938" w:rsidR="00C029B7" w:rsidRPr="00721B18" w:rsidRDefault="00C029B7" w:rsidP="008A46DD">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w:t>
            </w:r>
            <w:r w:rsidR="008A46DD">
              <w:rPr>
                <w:b/>
                <w:sz w:val="28"/>
                <w:szCs w:val="28"/>
              </w:rPr>
              <w:t>6</w:t>
            </w:r>
            <w:r>
              <w:rPr>
                <w:b/>
                <w:sz w:val="28"/>
                <w:szCs w:val="28"/>
              </w:rPr>
              <w:t>/1</w:t>
            </w:r>
            <w:r w:rsidR="00E57AF3">
              <w:rPr>
                <w:b/>
                <w:sz w:val="28"/>
                <w:szCs w:val="28"/>
              </w:rPr>
              <w:t>9</w:t>
            </w:r>
          </w:p>
        </w:tc>
        <w:tc>
          <w:tcPr>
            <w:tcW w:w="1559" w:type="dxa"/>
            <w:vAlign w:val="center"/>
          </w:tcPr>
          <w:p w14:paraId="39AAAB65" w14:textId="2282AB92" w:rsidR="00C029B7" w:rsidRDefault="00BB1909" w:rsidP="009A329B">
            <w:pPr>
              <w:jc w:val="center"/>
              <w:rPr>
                <w:b/>
                <w:sz w:val="28"/>
                <w:szCs w:val="28"/>
              </w:rPr>
            </w:pPr>
            <w:r>
              <w:rPr>
                <w:b/>
                <w:sz w:val="28"/>
                <w:szCs w:val="28"/>
              </w:rPr>
              <w:t>3.47</w:t>
            </w:r>
            <w:r w:rsidR="00EF7473">
              <w:rPr>
                <w:b/>
                <w:sz w:val="28"/>
                <w:szCs w:val="28"/>
              </w:rPr>
              <w:t xml:space="preserve"> </w:t>
            </w:r>
            <w:r w:rsidR="00EF7473" w:rsidRPr="00EC5E64">
              <w:rPr>
                <w:b/>
                <w:color w:val="00B050"/>
                <w:sz w:val="28"/>
                <w:szCs w:val="28"/>
              </w:rPr>
              <w:sym w:font="Wingdings" w:char="F0E9"/>
            </w:r>
          </w:p>
        </w:tc>
        <w:tc>
          <w:tcPr>
            <w:tcW w:w="6095" w:type="dxa"/>
            <w:tcBorders>
              <w:bottom w:val="single" w:sz="4" w:space="0" w:color="auto"/>
            </w:tcBorders>
            <w:vAlign w:val="center"/>
          </w:tcPr>
          <w:p w14:paraId="637E262B" w14:textId="418434A7" w:rsidR="00C029B7" w:rsidRDefault="00C029B7" w:rsidP="008A46DD">
            <w:pPr>
              <w:jc w:val="center"/>
              <w:rPr>
                <w:sz w:val="28"/>
                <w:szCs w:val="28"/>
              </w:rPr>
            </w:pPr>
            <w:r>
              <w:rPr>
                <w:sz w:val="28"/>
                <w:szCs w:val="28"/>
              </w:rPr>
              <w:t xml:space="preserve">CHANGE </w:t>
            </w:r>
            <w:r w:rsidRPr="00903E39">
              <w:rPr>
                <w:sz w:val="28"/>
                <w:szCs w:val="28"/>
              </w:rPr>
              <w:t xml:space="preserve">BASE YEAR </w:t>
            </w:r>
            <w:r>
              <w:rPr>
                <w:sz w:val="28"/>
                <w:szCs w:val="28"/>
              </w:rPr>
              <w:t>TO 201</w:t>
            </w:r>
            <w:r w:rsidR="008A46DD">
              <w:rPr>
                <w:sz w:val="28"/>
                <w:szCs w:val="28"/>
              </w:rPr>
              <w:t>6</w:t>
            </w:r>
            <w:r>
              <w:rPr>
                <w:sz w:val="28"/>
                <w:szCs w:val="28"/>
              </w:rPr>
              <w:t>/1</w:t>
            </w:r>
            <w:r w:rsidR="00E57AF3">
              <w:rPr>
                <w:sz w:val="28"/>
                <w:szCs w:val="28"/>
              </w:rPr>
              <w:t>9</w:t>
            </w:r>
          </w:p>
        </w:tc>
        <w:tc>
          <w:tcPr>
            <w:tcW w:w="1706" w:type="dxa"/>
            <w:tcBorders>
              <w:bottom w:val="single" w:sz="4" w:space="0" w:color="auto"/>
            </w:tcBorders>
            <w:vAlign w:val="center"/>
          </w:tcPr>
          <w:p w14:paraId="798B2FB6" w14:textId="188FD370" w:rsidR="00C029B7" w:rsidRPr="00CD0F94" w:rsidRDefault="00CD0F94" w:rsidP="009A329B">
            <w:pPr>
              <w:jc w:val="center"/>
              <w:rPr>
                <w:sz w:val="28"/>
                <w:szCs w:val="28"/>
              </w:rPr>
            </w:pPr>
            <w:r w:rsidRPr="00CD0F94">
              <w:rPr>
                <w:sz w:val="28"/>
                <w:szCs w:val="28"/>
              </w:rPr>
              <w:t>-0.63</w:t>
            </w:r>
            <w:r w:rsidR="00EF7473">
              <w:rPr>
                <w:sz w:val="28"/>
                <w:szCs w:val="28"/>
              </w:rPr>
              <w:t xml:space="preserve"> </w:t>
            </w:r>
            <w:r w:rsidR="00EF7473" w:rsidRPr="00C14931">
              <w:rPr>
                <w:b/>
                <w:color w:val="FF0000"/>
                <w:sz w:val="28"/>
                <w:szCs w:val="28"/>
              </w:rPr>
              <w:sym w:font="Wingdings" w:char="F0EA"/>
            </w:r>
          </w:p>
        </w:tc>
      </w:tr>
      <w:tr w:rsidR="00C029B7" w:rsidRPr="00C03994" w14:paraId="6AC5B862" w14:textId="77777777" w:rsidTr="00B318EA">
        <w:trPr>
          <w:trHeight w:val="397"/>
          <w:jc w:val="center"/>
        </w:trPr>
        <w:tc>
          <w:tcPr>
            <w:tcW w:w="7508" w:type="dxa"/>
            <w:gridSpan w:val="2"/>
            <w:tcBorders>
              <w:bottom w:val="single" w:sz="4" w:space="0" w:color="auto"/>
            </w:tcBorders>
            <w:vAlign w:val="center"/>
          </w:tcPr>
          <w:p w14:paraId="32928220" w14:textId="3D2C2E2B" w:rsidR="00C029B7" w:rsidRPr="003B5F3E" w:rsidRDefault="00C029B7" w:rsidP="00E57AF3">
            <w:pPr>
              <w:jc w:val="center"/>
              <w:rPr>
                <w:b/>
                <w:sz w:val="28"/>
                <w:szCs w:val="28"/>
              </w:rPr>
            </w:pPr>
            <w:r w:rsidRPr="003B5F3E">
              <w:rPr>
                <w:b/>
                <w:sz w:val="28"/>
                <w:szCs w:val="28"/>
              </w:rPr>
              <w:t>RANK POSITION:</w:t>
            </w:r>
            <w:r w:rsidR="00513443" w:rsidRPr="00BB1909">
              <w:rPr>
                <w:b/>
                <w:sz w:val="28"/>
                <w:szCs w:val="28"/>
              </w:rPr>
              <w:t xml:space="preserve"> </w:t>
            </w:r>
            <w:r w:rsidR="00BB1909">
              <w:rPr>
                <w:b/>
                <w:sz w:val="28"/>
                <w:szCs w:val="28"/>
              </w:rPr>
              <w:t>11</w:t>
            </w:r>
            <w:r w:rsidR="00513443" w:rsidRPr="00BB1909">
              <w:rPr>
                <w:b/>
                <w:sz w:val="28"/>
                <w:szCs w:val="28"/>
              </w:rPr>
              <w:t xml:space="preserve">   </w:t>
            </w:r>
            <w:r w:rsidRPr="003B5F3E">
              <w:rPr>
                <w:b/>
                <w:sz w:val="28"/>
                <w:szCs w:val="28"/>
              </w:rPr>
              <w:t xml:space="preserve">RANK MOVEMENT: </w:t>
            </w:r>
            <w:r w:rsidR="00BB1909">
              <w:rPr>
                <w:b/>
                <w:sz w:val="28"/>
                <w:szCs w:val="28"/>
              </w:rPr>
              <w:t>-2</w:t>
            </w:r>
            <w:r w:rsidR="00EF7473">
              <w:rPr>
                <w:b/>
                <w:sz w:val="28"/>
                <w:szCs w:val="28"/>
              </w:rPr>
              <w:t xml:space="preserve"> </w:t>
            </w:r>
            <w:r w:rsidR="00EF7473" w:rsidRPr="00C14931">
              <w:rPr>
                <w:b/>
                <w:color w:val="FF0000"/>
                <w:sz w:val="28"/>
                <w:szCs w:val="28"/>
              </w:rPr>
              <w:sym w:font="Wingdings" w:char="F0EA"/>
            </w:r>
          </w:p>
        </w:tc>
        <w:tc>
          <w:tcPr>
            <w:tcW w:w="7801" w:type="dxa"/>
            <w:gridSpan w:val="2"/>
            <w:tcBorders>
              <w:bottom w:val="nil"/>
            </w:tcBorders>
            <w:shd w:val="clear" w:color="auto" w:fill="D9D9D9" w:themeFill="background1" w:themeFillShade="D9"/>
            <w:vAlign w:val="center"/>
          </w:tcPr>
          <w:p w14:paraId="3996D713" w14:textId="77777777" w:rsidR="00C029B7" w:rsidRDefault="00C029B7" w:rsidP="009A329B">
            <w:pPr>
              <w:jc w:val="center"/>
              <w:rPr>
                <w:sz w:val="28"/>
                <w:szCs w:val="28"/>
              </w:rPr>
            </w:pPr>
          </w:p>
        </w:tc>
      </w:tr>
      <w:tr w:rsidR="00C029B7" w:rsidRPr="00C03994" w14:paraId="446E4665" w14:textId="77777777" w:rsidTr="00B318EA">
        <w:trPr>
          <w:trHeight w:val="397"/>
          <w:jc w:val="center"/>
        </w:trPr>
        <w:tc>
          <w:tcPr>
            <w:tcW w:w="7508" w:type="dxa"/>
            <w:gridSpan w:val="2"/>
            <w:tcBorders>
              <w:bottom w:val="nil"/>
            </w:tcBorders>
            <w:shd w:val="clear" w:color="auto" w:fill="D9E2F3" w:themeFill="accent5" w:themeFillTint="33"/>
            <w:vAlign w:val="center"/>
          </w:tcPr>
          <w:p w14:paraId="3E3F888E" w14:textId="39F26EF0" w:rsidR="00C029B7" w:rsidRPr="003B5F3E" w:rsidRDefault="00C029B7" w:rsidP="003575C1">
            <w:pPr>
              <w:jc w:val="center"/>
              <w:rPr>
                <w:b/>
                <w:sz w:val="28"/>
                <w:szCs w:val="28"/>
              </w:rPr>
            </w:pPr>
            <w:r>
              <w:rPr>
                <w:b/>
                <w:sz w:val="28"/>
                <w:szCs w:val="28"/>
              </w:rPr>
              <w:t>FAMILY GROUP RANKING 201</w:t>
            </w:r>
            <w:r w:rsidR="003575C1">
              <w:rPr>
                <w:b/>
                <w:sz w:val="28"/>
                <w:szCs w:val="28"/>
              </w:rPr>
              <w:t>6</w:t>
            </w:r>
            <w:r>
              <w:rPr>
                <w:b/>
                <w:sz w:val="28"/>
                <w:szCs w:val="28"/>
              </w:rPr>
              <w:t>/1</w:t>
            </w:r>
            <w:r w:rsidR="00E57AF3">
              <w:rPr>
                <w:b/>
                <w:sz w:val="28"/>
                <w:szCs w:val="28"/>
              </w:rPr>
              <w:t>9</w:t>
            </w:r>
          </w:p>
        </w:tc>
        <w:tc>
          <w:tcPr>
            <w:tcW w:w="7801" w:type="dxa"/>
            <w:gridSpan w:val="2"/>
            <w:tcBorders>
              <w:top w:val="nil"/>
              <w:bottom w:val="nil"/>
            </w:tcBorders>
            <w:shd w:val="clear" w:color="auto" w:fill="D9D9D9" w:themeFill="background1" w:themeFillShade="D9"/>
            <w:vAlign w:val="center"/>
          </w:tcPr>
          <w:p w14:paraId="26667A4B" w14:textId="77777777" w:rsidR="00C029B7" w:rsidRDefault="00C029B7" w:rsidP="009A329B">
            <w:pPr>
              <w:jc w:val="center"/>
              <w:rPr>
                <w:sz w:val="28"/>
                <w:szCs w:val="28"/>
              </w:rPr>
            </w:pPr>
          </w:p>
        </w:tc>
      </w:tr>
      <w:tr w:rsidR="00C029B7" w:rsidRPr="00C03994" w14:paraId="1C8B6B27" w14:textId="77777777" w:rsidTr="00B318EA">
        <w:trPr>
          <w:trHeight w:val="397"/>
          <w:jc w:val="center"/>
        </w:trPr>
        <w:tc>
          <w:tcPr>
            <w:tcW w:w="7508" w:type="dxa"/>
            <w:gridSpan w:val="2"/>
            <w:tcBorders>
              <w:top w:val="nil"/>
            </w:tcBorders>
            <w:shd w:val="clear" w:color="auto" w:fill="D9E2F3" w:themeFill="accent5" w:themeFillTint="33"/>
            <w:vAlign w:val="center"/>
          </w:tcPr>
          <w:p w14:paraId="558F5E8A" w14:textId="38561603" w:rsidR="00C029B7" w:rsidRPr="003B5F3E" w:rsidRDefault="00C029B7" w:rsidP="00E57AF3">
            <w:pPr>
              <w:jc w:val="center"/>
              <w:rPr>
                <w:b/>
                <w:sz w:val="28"/>
                <w:szCs w:val="28"/>
              </w:rPr>
            </w:pPr>
            <w:r>
              <w:rPr>
                <w:b/>
                <w:sz w:val="28"/>
                <w:szCs w:val="28"/>
              </w:rPr>
              <w:t xml:space="preserve">RANK POSITION: </w:t>
            </w:r>
            <w:r w:rsidR="00FD1CF1">
              <w:rPr>
                <w:b/>
                <w:sz w:val="28"/>
                <w:szCs w:val="28"/>
              </w:rPr>
              <w:t xml:space="preserve"> </w:t>
            </w:r>
            <w:r w:rsidR="00BB1909">
              <w:rPr>
                <w:b/>
                <w:sz w:val="28"/>
                <w:szCs w:val="28"/>
              </w:rPr>
              <w:t>3</w:t>
            </w:r>
            <w:r w:rsidR="00FD1CF1">
              <w:rPr>
                <w:b/>
                <w:sz w:val="28"/>
                <w:szCs w:val="28"/>
              </w:rPr>
              <w:t xml:space="preserve">   </w:t>
            </w:r>
            <w:r>
              <w:rPr>
                <w:b/>
                <w:sz w:val="28"/>
                <w:szCs w:val="28"/>
              </w:rPr>
              <w:t xml:space="preserve">RANK MOVEMENT: </w:t>
            </w:r>
            <w:r w:rsidR="00BB1909">
              <w:rPr>
                <w:b/>
                <w:sz w:val="28"/>
                <w:szCs w:val="28"/>
              </w:rPr>
              <w:t>0</w:t>
            </w:r>
            <w:r w:rsidR="00EF7473">
              <w:rPr>
                <w:b/>
                <w:sz w:val="28"/>
                <w:szCs w:val="28"/>
              </w:rPr>
              <w:t xml:space="preserve"> </w:t>
            </w:r>
            <w:r w:rsidR="00EF7473" w:rsidRPr="00A83E3B">
              <w:rPr>
                <w:b/>
                <w:color w:val="0070C0"/>
                <w:sz w:val="28"/>
                <w:szCs w:val="28"/>
              </w:rPr>
              <w:sym w:font="Wingdings" w:char="F0E8"/>
            </w:r>
          </w:p>
        </w:tc>
        <w:tc>
          <w:tcPr>
            <w:tcW w:w="7801" w:type="dxa"/>
            <w:gridSpan w:val="2"/>
            <w:tcBorders>
              <w:top w:val="nil"/>
            </w:tcBorders>
            <w:shd w:val="clear" w:color="auto" w:fill="D9D9D9" w:themeFill="background1" w:themeFillShade="D9"/>
            <w:vAlign w:val="center"/>
          </w:tcPr>
          <w:p w14:paraId="782AC9C4" w14:textId="77777777" w:rsidR="00C029B7" w:rsidRDefault="00C029B7" w:rsidP="009A329B">
            <w:pPr>
              <w:jc w:val="center"/>
              <w:rPr>
                <w:sz w:val="28"/>
                <w:szCs w:val="28"/>
              </w:rPr>
            </w:pPr>
          </w:p>
        </w:tc>
      </w:tr>
      <w:tr w:rsidR="00C029B7" w:rsidRPr="00C03994" w14:paraId="5BE6E431" w14:textId="77777777" w:rsidTr="00F03F11">
        <w:trPr>
          <w:trHeight w:val="397"/>
          <w:jc w:val="center"/>
        </w:trPr>
        <w:tc>
          <w:tcPr>
            <w:tcW w:w="15309" w:type="dxa"/>
            <w:gridSpan w:val="4"/>
            <w:vAlign w:val="center"/>
          </w:tcPr>
          <w:p w14:paraId="2B9A6FE4" w14:textId="073328D5" w:rsidR="00C029B7" w:rsidRPr="00C029B7" w:rsidRDefault="00C029B7" w:rsidP="00C029B7">
            <w:pPr>
              <w:rPr>
                <w:sz w:val="6"/>
                <w:szCs w:val="6"/>
              </w:rPr>
            </w:pPr>
          </w:p>
          <w:p w14:paraId="5EC3448F" w14:textId="77777777" w:rsidR="00C029B7" w:rsidRPr="00C03994" w:rsidRDefault="00C029B7" w:rsidP="000F4CDF">
            <w:pPr>
              <w:spacing w:after="120"/>
              <w:rPr>
                <w:b/>
                <w:sz w:val="28"/>
                <w:szCs w:val="28"/>
              </w:rPr>
            </w:pPr>
            <w:r w:rsidRPr="00C03994">
              <w:rPr>
                <w:b/>
                <w:sz w:val="28"/>
                <w:szCs w:val="28"/>
              </w:rPr>
              <w:t>TELLING OUR STORY:</w:t>
            </w:r>
          </w:p>
          <w:p w14:paraId="00F43CD1" w14:textId="1FEE2954" w:rsidR="008A46DD" w:rsidRPr="001453C3" w:rsidRDefault="008A46DD" w:rsidP="000F4CDF">
            <w:pPr>
              <w:spacing w:after="120"/>
              <w:rPr>
                <w:rFonts w:cstheme="minorHAnsi"/>
                <w:sz w:val="24"/>
                <w:szCs w:val="24"/>
              </w:rPr>
            </w:pPr>
            <w:r w:rsidRPr="001453C3">
              <w:rPr>
                <w:rFonts w:cstheme="minorHAnsi"/>
                <w:sz w:val="24"/>
                <w:szCs w:val="24"/>
              </w:rPr>
              <w:t>The indicator comes from the Scottish Household Survey, and is based on a 3 year rolling average of survey results.</w:t>
            </w:r>
          </w:p>
          <w:p w14:paraId="4360370A" w14:textId="77777777" w:rsidR="008A46DD" w:rsidRPr="001453C3" w:rsidRDefault="008A46DD" w:rsidP="000F4CDF">
            <w:pPr>
              <w:spacing w:after="120"/>
              <w:rPr>
                <w:rFonts w:cstheme="minorHAnsi"/>
                <w:sz w:val="24"/>
                <w:szCs w:val="24"/>
              </w:rPr>
            </w:pPr>
            <w:r w:rsidRPr="001453C3">
              <w:rPr>
                <w:rFonts w:cstheme="minorHAnsi"/>
                <w:sz w:val="24"/>
                <w:szCs w:val="24"/>
              </w:rPr>
              <w:t>For the third consecutive reporting period in a row, reported satisfaction with libraries has decreased.</w:t>
            </w:r>
          </w:p>
          <w:p w14:paraId="50B2316B" w14:textId="39921068" w:rsidR="008A46DD" w:rsidRPr="001453C3" w:rsidRDefault="008A46DD" w:rsidP="000F4CDF">
            <w:pPr>
              <w:spacing w:after="120"/>
              <w:rPr>
                <w:rFonts w:cstheme="minorHAnsi"/>
                <w:sz w:val="24"/>
                <w:szCs w:val="24"/>
              </w:rPr>
            </w:pPr>
            <w:r w:rsidRPr="001453C3">
              <w:rPr>
                <w:rFonts w:cstheme="minorHAnsi"/>
                <w:sz w:val="24"/>
                <w:szCs w:val="24"/>
              </w:rPr>
              <w:t xml:space="preserve">The SHS provides no insight into what, specifically, respondents are satisfied/unsatisfied with. </w:t>
            </w:r>
          </w:p>
          <w:p w14:paraId="26DEC385" w14:textId="43EFE986" w:rsidR="008A46DD" w:rsidRPr="001453C3" w:rsidRDefault="008A46DD" w:rsidP="000F4CDF">
            <w:pPr>
              <w:spacing w:after="120"/>
              <w:rPr>
                <w:rFonts w:cstheme="minorHAnsi"/>
                <w:sz w:val="24"/>
                <w:szCs w:val="24"/>
              </w:rPr>
            </w:pPr>
            <w:r w:rsidRPr="001453C3">
              <w:rPr>
                <w:rFonts w:cstheme="minorHAnsi"/>
                <w:sz w:val="24"/>
                <w:szCs w:val="24"/>
              </w:rPr>
              <w:t>It was noted in last years report that, during, 2019/20, Live Argyll intended to carry out its own satisfaction surveys, and opening hours were to be amended. Note, however, that this timeline would not have impacted on results reported for 2018/19.</w:t>
            </w:r>
          </w:p>
          <w:p w14:paraId="5A4D208F" w14:textId="77777777" w:rsidR="008A46DD" w:rsidRPr="00C029B7" w:rsidRDefault="008A46DD" w:rsidP="00E57AF3">
            <w:pPr>
              <w:rPr>
                <w:rFonts w:ascii="Arial" w:hAnsi="Arial" w:cs="Arial"/>
                <w:szCs w:val="28"/>
              </w:rPr>
            </w:pPr>
          </w:p>
        </w:tc>
      </w:tr>
      <w:tr w:rsidR="00C029B7" w:rsidRPr="00C03994" w14:paraId="46785794" w14:textId="77777777" w:rsidTr="00F03F11">
        <w:trPr>
          <w:trHeight w:val="397"/>
          <w:jc w:val="center"/>
        </w:trPr>
        <w:tc>
          <w:tcPr>
            <w:tcW w:w="15309" w:type="dxa"/>
            <w:gridSpan w:val="4"/>
            <w:vAlign w:val="center"/>
          </w:tcPr>
          <w:p w14:paraId="43CD0843" w14:textId="77777777" w:rsidR="00C029B7" w:rsidRPr="00C029B7" w:rsidRDefault="00C029B7" w:rsidP="00C029B7">
            <w:pPr>
              <w:rPr>
                <w:sz w:val="6"/>
                <w:szCs w:val="6"/>
              </w:rPr>
            </w:pPr>
          </w:p>
          <w:p w14:paraId="2BC2D1BA" w14:textId="77777777" w:rsidR="00C029B7" w:rsidRDefault="00C029B7" w:rsidP="000F4CDF">
            <w:pPr>
              <w:spacing w:after="120"/>
              <w:rPr>
                <w:b/>
                <w:sz w:val="28"/>
                <w:szCs w:val="28"/>
              </w:rPr>
            </w:pPr>
            <w:r>
              <w:rPr>
                <w:b/>
                <w:sz w:val="28"/>
                <w:szCs w:val="28"/>
              </w:rPr>
              <w:t>LOOKING FORWARD - EXPECTED IMPACT ON INDICATOR</w:t>
            </w:r>
            <w:r w:rsidRPr="00C03994">
              <w:rPr>
                <w:b/>
                <w:sz w:val="28"/>
                <w:szCs w:val="28"/>
              </w:rPr>
              <w:t>:</w:t>
            </w:r>
          </w:p>
          <w:p w14:paraId="1F316EE7" w14:textId="36F9A959" w:rsidR="00320E1A" w:rsidRPr="00C029B7" w:rsidRDefault="00601DB2" w:rsidP="000F4CDF">
            <w:pPr>
              <w:spacing w:after="120"/>
              <w:rPr>
                <w:rFonts w:ascii="Arial" w:hAnsi="Arial" w:cs="Arial"/>
                <w:szCs w:val="28"/>
              </w:rPr>
            </w:pPr>
            <w:r w:rsidRPr="006805F1">
              <w:rPr>
                <w:rFonts w:cstheme="minorHAnsi"/>
                <w:sz w:val="24"/>
                <w:szCs w:val="24"/>
              </w:rPr>
              <w:t xml:space="preserve">Live Argyll did not undertake customer survey in 19/20 it was rolled forward to 20/21.  Unfortunately </w:t>
            </w:r>
            <w:r w:rsidR="00A95B6B">
              <w:rPr>
                <w:rFonts w:cstheme="minorHAnsi"/>
                <w:sz w:val="24"/>
                <w:szCs w:val="24"/>
              </w:rPr>
              <w:t>COVID</w:t>
            </w:r>
            <w:r w:rsidRPr="006805F1">
              <w:rPr>
                <w:rFonts w:cstheme="minorHAnsi"/>
                <w:sz w:val="24"/>
                <w:szCs w:val="24"/>
              </w:rPr>
              <w:t xml:space="preserve"> has had a major impact on the service and we are now progressing a proposed new business model going forward.  </w:t>
            </w:r>
          </w:p>
        </w:tc>
      </w:tr>
    </w:tbl>
    <w:p w14:paraId="2352A654" w14:textId="7EE55262" w:rsidR="00336A54" w:rsidRDefault="00336A54"/>
    <w:p w14:paraId="3E9685B8" w14:textId="77777777" w:rsidR="00336A54" w:rsidRDefault="00336A54">
      <w:r>
        <w:br w:type="page"/>
      </w:r>
    </w:p>
    <w:p w14:paraId="7987E52B" w14:textId="6C05531E" w:rsidR="006805F1" w:rsidRDefault="006805F1"/>
    <w:tbl>
      <w:tblPr>
        <w:tblStyle w:val="TableGrid2"/>
        <w:tblW w:w="15309" w:type="dxa"/>
        <w:jc w:val="center"/>
        <w:tblLook w:val="04A0" w:firstRow="1" w:lastRow="0" w:firstColumn="1" w:lastColumn="0" w:noHBand="0" w:noVBand="1"/>
      </w:tblPr>
      <w:tblGrid>
        <w:gridCol w:w="5949"/>
        <w:gridCol w:w="1701"/>
        <w:gridCol w:w="142"/>
        <w:gridCol w:w="5811"/>
        <w:gridCol w:w="1706"/>
      </w:tblGrid>
      <w:tr w:rsidR="00912400" w:rsidRPr="005D65E6" w14:paraId="74901B14" w14:textId="77777777" w:rsidTr="00912400">
        <w:trPr>
          <w:trHeight w:val="794"/>
          <w:jc w:val="center"/>
        </w:trPr>
        <w:tc>
          <w:tcPr>
            <w:tcW w:w="15309" w:type="dxa"/>
            <w:gridSpan w:val="5"/>
            <w:vAlign w:val="center"/>
          </w:tcPr>
          <w:p w14:paraId="348F3279" w14:textId="77777777" w:rsidR="00912400" w:rsidRPr="005D65E6" w:rsidRDefault="00912400" w:rsidP="005D65E6">
            <w:pPr>
              <w:rPr>
                <w:b/>
                <w:sz w:val="32"/>
              </w:rPr>
            </w:pPr>
            <w:r w:rsidRPr="005D65E6">
              <w:rPr>
                <w:b/>
                <w:sz w:val="32"/>
              </w:rPr>
              <w:t>SERVICE: COMMUNITY AND CULTURE</w:t>
            </w:r>
          </w:p>
        </w:tc>
      </w:tr>
      <w:tr w:rsidR="00C03994" w:rsidRPr="00196B10" w14:paraId="5CC8AFC1" w14:textId="77777777" w:rsidTr="00E205BB">
        <w:trPr>
          <w:trHeight w:val="567"/>
          <w:jc w:val="center"/>
        </w:trPr>
        <w:tc>
          <w:tcPr>
            <w:tcW w:w="15309" w:type="dxa"/>
            <w:gridSpan w:val="5"/>
            <w:vAlign w:val="center"/>
          </w:tcPr>
          <w:p w14:paraId="576BC746" w14:textId="77777777" w:rsidR="00C03994" w:rsidRPr="00196B10" w:rsidRDefault="00C03994" w:rsidP="009A329B">
            <w:pPr>
              <w:pStyle w:val="Heading1"/>
              <w:spacing w:before="0"/>
              <w:outlineLvl w:val="0"/>
              <w:rPr>
                <w:b/>
                <w:color w:val="auto"/>
              </w:rPr>
            </w:pPr>
            <w:bookmarkStart w:id="34" w:name="_Toc56757712"/>
            <w:r w:rsidRPr="00196B10">
              <w:rPr>
                <w:b/>
                <w:color w:val="auto"/>
              </w:rPr>
              <w:t xml:space="preserve">INDICATOR REF: C&amp;L5c - </w:t>
            </w:r>
            <w:r w:rsidR="000225DD" w:rsidRPr="00196B10">
              <w:rPr>
                <w:b/>
                <w:color w:val="auto"/>
              </w:rPr>
              <w:t>Percentage</w:t>
            </w:r>
            <w:r w:rsidRPr="00196B10">
              <w:rPr>
                <w:b/>
                <w:color w:val="auto"/>
              </w:rPr>
              <w:t xml:space="preserve"> of adults satisfied with museums and galleries</w:t>
            </w:r>
            <w:bookmarkEnd w:id="34"/>
            <w:r w:rsidR="00CA7DF1" w:rsidRPr="00196B10">
              <w:rPr>
                <w:b/>
                <w:color w:val="auto"/>
              </w:rPr>
              <w:t xml:space="preserve"> </w:t>
            </w:r>
          </w:p>
        </w:tc>
      </w:tr>
      <w:tr w:rsidR="008F2E9A" w:rsidRPr="00C03994" w14:paraId="43265A5E" w14:textId="77777777" w:rsidTr="00E205BB">
        <w:trPr>
          <w:trHeight w:val="454"/>
          <w:jc w:val="center"/>
        </w:trPr>
        <w:tc>
          <w:tcPr>
            <w:tcW w:w="15309" w:type="dxa"/>
            <w:gridSpan w:val="5"/>
            <w:vAlign w:val="center"/>
          </w:tcPr>
          <w:p w14:paraId="1A0B6B76" w14:textId="719642B7" w:rsidR="008F2E9A" w:rsidRPr="006F0AC0" w:rsidRDefault="008F2E9A" w:rsidP="00BB1909">
            <w:pPr>
              <w:jc w:val="center"/>
              <w:rPr>
                <w:b/>
                <w:color w:val="0070C0"/>
                <w:sz w:val="28"/>
                <w:szCs w:val="28"/>
              </w:rPr>
            </w:pPr>
            <w:r w:rsidRPr="00C577BD">
              <w:rPr>
                <w:b/>
                <w:color w:val="0070C0"/>
                <w:sz w:val="28"/>
                <w:szCs w:val="28"/>
              </w:rPr>
              <w:t>Performance Range:</w:t>
            </w:r>
            <w:r w:rsidR="006F0AC0" w:rsidRPr="004C7782">
              <w:rPr>
                <w:b/>
                <w:color w:val="0070C0"/>
                <w:sz w:val="28"/>
                <w:szCs w:val="28"/>
              </w:rPr>
              <w:t xml:space="preserve"> </w:t>
            </w:r>
            <w:r w:rsidR="00BB1909">
              <w:rPr>
                <w:b/>
                <w:color w:val="0070C0"/>
                <w:sz w:val="28"/>
                <w:szCs w:val="28"/>
              </w:rPr>
              <w:t>42.10</w:t>
            </w:r>
            <w:r w:rsidR="006F0AC0">
              <w:rPr>
                <w:b/>
                <w:color w:val="0070C0"/>
                <w:sz w:val="28"/>
                <w:szCs w:val="28"/>
              </w:rPr>
              <w:t xml:space="preserve">% to </w:t>
            </w:r>
            <w:r w:rsidR="00BB1909">
              <w:rPr>
                <w:b/>
                <w:color w:val="0070C0"/>
                <w:sz w:val="28"/>
                <w:szCs w:val="28"/>
              </w:rPr>
              <w:t>90.57</w:t>
            </w:r>
            <w:r w:rsidR="006F0AC0">
              <w:rPr>
                <w:b/>
                <w:color w:val="0070C0"/>
                <w:sz w:val="28"/>
                <w:szCs w:val="28"/>
              </w:rPr>
              <w:t>%</w:t>
            </w:r>
            <w:r w:rsidR="005E2139">
              <w:rPr>
                <w:b/>
                <w:color w:val="0070C0"/>
                <w:sz w:val="28"/>
                <w:szCs w:val="28"/>
              </w:rPr>
              <w:t xml:space="preserve">  </w:t>
            </w:r>
            <w:r w:rsidR="005E2139" w:rsidRPr="005E2139">
              <w:rPr>
                <w:b/>
                <w:color w:val="0070C0"/>
                <w:sz w:val="28"/>
                <w:szCs w:val="28"/>
              </w:rPr>
              <w:t>(Highest is best)</w:t>
            </w:r>
          </w:p>
        </w:tc>
      </w:tr>
      <w:tr w:rsidR="00C03994" w:rsidRPr="00C03994" w14:paraId="5211E60B" w14:textId="77777777" w:rsidTr="00E83409">
        <w:trPr>
          <w:trHeight w:val="397"/>
          <w:jc w:val="center"/>
        </w:trPr>
        <w:tc>
          <w:tcPr>
            <w:tcW w:w="7792" w:type="dxa"/>
            <w:gridSpan w:val="3"/>
            <w:shd w:val="clear" w:color="auto" w:fill="D9E2F3" w:themeFill="accent5" w:themeFillTint="33"/>
            <w:vAlign w:val="center"/>
          </w:tcPr>
          <w:p w14:paraId="3165B372" w14:textId="77777777" w:rsidR="00C03994" w:rsidRPr="00C03994" w:rsidRDefault="00C03994" w:rsidP="009A329B">
            <w:pPr>
              <w:jc w:val="center"/>
              <w:rPr>
                <w:b/>
                <w:sz w:val="28"/>
                <w:szCs w:val="28"/>
              </w:rPr>
            </w:pPr>
            <w:r w:rsidRPr="00C03994">
              <w:rPr>
                <w:b/>
                <w:sz w:val="28"/>
                <w:szCs w:val="28"/>
              </w:rPr>
              <w:t>ARGYLL AND BUTE</w:t>
            </w:r>
          </w:p>
        </w:tc>
        <w:tc>
          <w:tcPr>
            <w:tcW w:w="7517" w:type="dxa"/>
            <w:gridSpan w:val="2"/>
            <w:shd w:val="clear" w:color="auto" w:fill="D9E2F3" w:themeFill="accent5" w:themeFillTint="33"/>
            <w:vAlign w:val="center"/>
          </w:tcPr>
          <w:p w14:paraId="25A1FA73" w14:textId="77777777" w:rsidR="00C03994" w:rsidRPr="00C03994" w:rsidRDefault="00C03994" w:rsidP="009A329B">
            <w:pPr>
              <w:jc w:val="center"/>
              <w:rPr>
                <w:b/>
                <w:sz w:val="28"/>
                <w:szCs w:val="28"/>
              </w:rPr>
            </w:pPr>
            <w:r w:rsidRPr="00C03994">
              <w:rPr>
                <w:b/>
                <w:sz w:val="28"/>
                <w:szCs w:val="28"/>
              </w:rPr>
              <w:t>SCOTLAND</w:t>
            </w:r>
          </w:p>
        </w:tc>
      </w:tr>
      <w:tr w:rsidR="00C03994" w:rsidRPr="00C03994" w14:paraId="77719D6D" w14:textId="77777777" w:rsidTr="00C029B7">
        <w:trPr>
          <w:trHeight w:val="397"/>
          <w:jc w:val="center"/>
        </w:trPr>
        <w:tc>
          <w:tcPr>
            <w:tcW w:w="7792" w:type="dxa"/>
            <w:gridSpan w:val="3"/>
            <w:vAlign w:val="center"/>
          </w:tcPr>
          <w:p w14:paraId="13B30CCA" w14:textId="52F9EBAF" w:rsidR="00C03994" w:rsidRPr="003B5F3E" w:rsidRDefault="00BB1909" w:rsidP="009A329B">
            <w:pPr>
              <w:jc w:val="center"/>
              <w:rPr>
                <w:b/>
                <w:sz w:val="28"/>
                <w:szCs w:val="28"/>
              </w:rPr>
            </w:pPr>
            <w:r>
              <w:rPr>
                <w:b/>
                <w:sz w:val="28"/>
                <w:szCs w:val="28"/>
              </w:rPr>
              <w:t>58.57</w:t>
            </w:r>
            <w:r w:rsidR="00E57AF3">
              <w:rPr>
                <w:b/>
                <w:sz w:val="28"/>
                <w:szCs w:val="28"/>
              </w:rPr>
              <w:t>%</w:t>
            </w:r>
          </w:p>
        </w:tc>
        <w:tc>
          <w:tcPr>
            <w:tcW w:w="7517" w:type="dxa"/>
            <w:gridSpan w:val="2"/>
            <w:vAlign w:val="center"/>
          </w:tcPr>
          <w:p w14:paraId="56FE5E39" w14:textId="2F374961" w:rsidR="00C03994" w:rsidRPr="00C03994" w:rsidRDefault="00BB1909" w:rsidP="009A329B">
            <w:pPr>
              <w:jc w:val="center"/>
              <w:rPr>
                <w:b/>
                <w:sz w:val="28"/>
                <w:szCs w:val="28"/>
              </w:rPr>
            </w:pPr>
            <w:r>
              <w:rPr>
                <w:b/>
                <w:sz w:val="28"/>
                <w:szCs w:val="28"/>
              </w:rPr>
              <w:t>69.30</w:t>
            </w:r>
            <w:r w:rsidR="00E57AF3">
              <w:rPr>
                <w:b/>
                <w:sz w:val="28"/>
                <w:szCs w:val="28"/>
              </w:rPr>
              <w:t>%</w:t>
            </w:r>
          </w:p>
        </w:tc>
      </w:tr>
      <w:tr w:rsidR="00C029B7" w:rsidRPr="00C03994" w14:paraId="55A28571" w14:textId="77777777" w:rsidTr="00C029B7">
        <w:trPr>
          <w:trHeight w:val="397"/>
          <w:jc w:val="center"/>
        </w:trPr>
        <w:tc>
          <w:tcPr>
            <w:tcW w:w="5949" w:type="dxa"/>
            <w:vAlign w:val="center"/>
          </w:tcPr>
          <w:p w14:paraId="5CB14DF1" w14:textId="1D6D14E2" w:rsidR="00C029B7" w:rsidRPr="003B5F3E" w:rsidRDefault="00C029B7" w:rsidP="008A46DD">
            <w:pPr>
              <w:jc w:val="center"/>
              <w:rPr>
                <w:b/>
                <w:sz w:val="28"/>
                <w:szCs w:val="28"/>
              </w:rPr>
            </w:pPr>
            <w:r w:rsidRPr="00721B18">
              <w:rPr>
                <w:b/>
                <w:sz w:val="28"/>
                <w:szCs w:val="28"/>
              </w:rPr>
              <w:t>CHANGE 201</w:t>
            </w:r>
            <w:r w:rsidR="008A46DD">
              <w:rPr>
                <w:b/>
                <w:sz w:val="28"/>
                <w:szCs w:val="28"/>
              </w:rPr>
              <w:t>5</w:t>
            </w:r>
            <w:r w:rsidRPr="00721B18">
              <w:rPr>
                <w:b/>
                <w:sz w:val="28"/>
                <w:szCs w:val="28"/>
              </w:rPr>
              <w:t>/1</w:t>
            </w:r>
            <w:r w:rsidR="00E57AF3">
              <w:rPr>
                <w:b/>
                <w:sz w:val="28"/>
                <w:szCs w:val="28"/>
              </w:rPr>
              <w:t>8</w:t>
            </w:r>
            <w:r w:rsidRPr="00721B18">
              <w:rPr>
                <w:b/>
                <w:sz w:val="28"/>
                <w:szCs w:val="28"/>
              </w:rPr>
              <w:t xml:space="preserve"> TO </w:t>
            </w:r>
            <w:r>
              <w:rPr>
                <w:b/>
                <w:sz w:val="28"/>
                <w:szCs w:val="28"/>
              </w:rPr>
              <w:t>201</w:t>
            </w:r>
            <w:r w:rsidR="008A46DD">
              <w:rPr>
                <w:b/>
                <w:sz w:val="28"/>
                <w:szCs w:val="28"/>
              </w:rPr>
              <w:t>6</w:t>
            </w:r>
            <w:r>
              <w:rPr>
                <w:b/>
                <w:sz w:val="28"/>
                <w:szCs w:val="28"/>
              </w:rPr>
              <w:t>/1</w:t>
            </w:r>
            <w:r w:rsidR="00E57AF3">
              <w:rPr>
                <w:b/>
                <w:sz w:val="28"/>
                <w:szCs w:val="28"/>
              </w:rPr>
              <w:t>9</w:t>
            </w:r>
          </w:p>
        </w:tc>
        <w:tc>
          <w:tcPr>
            <w:tcW w:w="1843" w:type="dxa"/>
            <w:gridSpan w:val="2"/>
            <w:vAlign w:val="center"/>
          </w:tcPr>
          <w:p w14:paraId="1907ED65" w14:textId="33005C50" w:rsidR="00C029B7" w:rsidRPr="003B5F3E" w:rsidRDefault="00BB1909" w:rsidP="009A329B">
            <w:pPr>
              <w:jc w:val="center"/>
              <w:rPr>
                <w:b/>
                <w:sz w:val="28"/>
                <w:szCs w:val="28"/>
              </w:rPr>
            </w:pPr>
            <w:r>
              <w:rPr>
                <w:b/>
                <w:sz w:val="28"/>
                <w:szCs w:val="28"/>
              </w:rPr>
              <w:t>4.57</w:t>
            </w:r>
            <w:r w:rsidR="00EF7473">
              <w:rPr>
                <w:b/>
                <w:sz w:val="28"/>
                <w:szCs w:val="28"/>
              </w:rPr>
              <w:t xml:space="preserve"> </w:t>
            </w:r>
            <w:r w:rsidR="00EF7473" w:rsidRPr="00EC5E64">
              <w:rPr>
                <w:b/>
                <w:color w:val="00B050"/>
                <w:sz w:val="28"/>
                <w:szCs w:val="28"/>
              </w:rPr>
              <w:sym w:font="Wingdings" w:char="F0E9"/>
            </w:r>
          </w:p>
        </w:tc>
        <w:tc>
          <w:tcPr>
            <w:tcW w:w="5811" w:type="dxa"/>
            <w:vAlign w:val="center"/>
          </w:tcPr>
          <w:p w14:paraId="602B032C" w14:textId="799E22DC" w:rsidR="00C029B7" w:rsidRDefault="00C029B7" w:rsidP="008A46DD">
            <w:pPr>
              <w:jc w:val="center"/>
              <w:rPr>
                <w:b/>
                <w:sz w:val="28"/>
                <w:szCs w:val="28"/>
              </w:rPr>
            </w:pPr>
            <w:r>
              <w:rPr>
                <w:sz w:val="28"/>
                <w:szCs w:val="28"/>
              </w:rPr>
              <w:t>CHANGE 201</w:t>
            </w:r>
            <w:r w:rsidR="008A46DD">
              <w:rPr>
                <w:sz w:val="28"/>
                <w:szCs w:val="28"/>
              </w:rPr>
              <w:t>5</w:t>
            </w:r>
            <w:r>
              <w:rPr>
                <w:sz w:val="28"/>
                <w:szCs w:val="28"/>
              </w:rPr>
              <w:t>/1</w:t>
            </w:r>
            <w:r w:rsidR="00E57AF3">
              <w:rPr>
                <w:sz w:val="28"/>
                <w:szCs w:val="28"/>
              </w:rPr>
              <w:t>8</w:t>
            </w:r>
            <w:r>
              <w:rPr>
                <w:sz w:val="28"/>
                <w:szCs w:val="28"/>
              </w:rPr>
              <w:t xml:space="preserve"> TO 201</w:t>
            </w:r>
            <w:r w:rsidR="008A46DD">
              <w:rPr>
                <w:sz w:val="28"/>
                <w:szCs w:val="28"/>
              </w:rPr>
              <w:t>6</w:t>
            </w:r>
            <w:r>
              <w:rPr>
                <w:sz w:val="28"/>
                <w:szCs w:val="28"/>
              </w:rPr>
              <w:t>/</w:t>
            </w:r>
            <w:r w:rsidR="000E1375">
              <w:rPr>
                <w:sz w:val="28"/>
                <w:szCs w:val="28"/>
              </w:rPr>
              <w:t>19</w:t>
            </w:r>
          </w:p>
        </w:tc>
        <w:tc>
          <w:tcPr>
            <w:tcW w:w="1706" w:type="dxa"/>
            <w:vAlign w:val="center"/>
          </w:tcPr>
          <w:p w14:paraId="6D2593C3" w14:textId="449C2B94" w:rsidR="00C029B7" w:rsidRPr="00EF7473" w:rsidRDefault="00EF7473" w:rsidP="00254956">
            <w:pPr>
              <w:jc w:val="center"/>
              <w:rPr>
                <w:b/>
                <w:sz w:val="28"/>
                <w:szCs w:val="28"/>
              </w:rPr>
            </w:pPr>
            <w:r>
              <w:rPr>
                <w:sz w:val="28"/>
                <w:szCs w:val="28"/>
              </w:rPr>
              <w:t xml:space="preserve">-0.7 </w:t>
            </w:r>
            <w:r w:rsidRPr="00C14931">
              <w:rPr>
                <w:b/>
                <w:color w:val="FF0000"/>
                <w:sz w:val="28"/>
                <w:szCs w:val="28"/>
              </w:rPr>
              <w:sym w:font="Wingdings" w:char="F0EA"/>
            </w:r>
          </w:p>
        </w:tc>
      </w:tr>
      <w:tr w:rsidR="00C029B7" w:rsidRPr="00C03994" w14:paraId="3F1D6B67" w14:textId="77777777" w:rsidTr="00E205BB">
        <w:trPr>
          <w:trHeight w:val="397"/>
          <w:jc w:val="center"/>
        </w:trPr>
        <w:tc>
          <w:tcPr>
            <w:tcW w:w="5949" w:type="dxa"/>
            <w:vAlign w:val="center"/>
          </w:tcPr>
          <w:p w14:paraId="56E62594" w14:textId="75AE4165" w:rsidR="00C029B7" w:rsidRPr="00721B18" w:rsidRDefault="00C029B7" w:rsidP="008A46DD">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w:t>
            </w:r>
            <w:r w:rsidR="008A46DD">
              <w:rPr>
                <w:b/>
                <w:sz w:val="28"/>
                <w:szCs w:val="28"/>
              </w:rPr>
              <w:t>6</w:t>
            </w:r>
            <w:r>
              <w:rPr>
                <w:b/>
                <w:sz w:val="28"/>
                <w:szCs w:val="28"/>
              </w:rPr>
              <w:t>/1</w:t>
            </w:r>
            <w:r w:rsidR="00E57AF3">
              <w:rPr>
                <w:b/>
                <w:sz w:val="28"/>
                <w:szCs w:val="28"/>
              </w:rPr>
              <w:t>9</w:t>
            </w:r>
          </w:p>
        </w:tc>
        <w:tc>
          <w:tcPr>
            <w:tcW w:w="1843" w:type="dxa"/>
            <w:gridSpan w:val="2"/>
            <w:vAlign w:val="center"/>
          </w:tcPr>
          <w:p w14:paraId="563C7D53" w14:textId="1375C8E4" w:rsidR="00C029B7" w:rsidRPr="003B5F3E" w:rsidRDefault="00BB1909" w:rsidP="009A329B">
            <w:pPr>
              <w:jc w:val="center"/>
              <w:rPr>
                <w:b/>
                <w:sz w:val="28"/>
                <w:szCs w:val="28"/>
              </w:rPr>
            </w:pPr>
            <w:r>
              <w:rPr>
                <w:b/>
                <w:sz w:val="28"/>
                <w:szCs w:val="28"/>
              </w:rPr>
              <w:t>14.9</w:t>
            </w:r>
            <w:r w:rsidR="00EF7473">
              <w:rPr>
                <w:b/>
                <w:sz w:val="28"/>
                <w:szCs w:val="28"/>
              </w:rPr>
              <w:t xml:space="preserve"> </w:t>
            </w:r>
            <w:r w:rsidR="00EF7473" w:rsidRPr="00EC5E64">
              <w:rPr>
                <w:b/>
                <w:color w:val="00B050"/>
                <w:sz w:val="28"/>
                <w:szCs w:val="28"/>
              </w:rPr>
              <w:sym w:font="Wingdings" w:char="F0E9"/>
            </w:r>
          </w:p>
        </w:tc>
        <w:tc>
          <w:tcPr>
            <w:tcW w:w="5811" w:type="dxa"/>
            <w:tcBorders>
              <w:bottom w:val="single" w:sz="4" w:space="0" w:color="auto"/>
            </w:tcBorders>
            <w:vAlign w:val="center"/>
          </w:tcPr>
          <w:p w14:paraId="69A0BBD5" w14:textId="664AB937" w:rsidR="00C029B7" w:rsidRDefault="00C029B7" w:rsidP="008A46DD">
            <w:pPr>
              <w:jc w:val="center"/>
              <w:rPr>
                <w:sz w:val="28"/>
                <w:szCs w:val="28"/>
              </w:rPr>
            </w:pPr>
            <w:r>
              <w:rPr>
                <w:sz w:val="28"/>
                <w:szCs w:val="28"/>
              </w:rPr>
              <w:t xml:space="preserve">CHANGE </w:t>
            </w:r>
            <w:r w:rsidRPr="00903E39">
              <w:rPr>
                <w:sz w:val="28"/>
                <w:szCs w:val="28"/>
              </w:rPr>
              <w:t xml:space="preserve">BASE YEAR </w:t>
            </w:r>
            <w:r>
              <w:rPr>
                <w:sz w:val="28"/>
                <w:szCs w:val="28"/>
              </w:rPr>
              <w:t>TO 201</w:t>
            </w:r>
            <w:r w:rsidR="008A46DD">
              <w:rPr>
                <w:sz w:val="28"/>
                <w:szCs w:val="28"/>
              </w:rPr>
              <w:t>6</w:t>
            </w:r>
            <w:r>
              <w:rPr>
                <w:sz w:val="28"/>
                <w:szCs w:val="28"/>
              </w:rPr>
              <w:t>/1</w:t>
            </w:r>
            <w:r w:rsidR="00E57AF3">
              <w:rPr>
                <w:sz w:val="28"/>
                <w:szCs w:val="28"/>
              </w:rPr>
              <w:t>9</w:t>
            </w:r>
          </w:p>
        </w:tc>
        <w:tc>
          <w:tcPr>
            <w:tcW w:w="1706" w:type="dxa"/>
            <w:tcBorders>
              <w:bottom w:val="single" w:sz="4" w:space="0" w:color="auto"/>
            </w:tcBorders>
            <w:vAlign w:val="center"/>
          </w:tcPr>
          <w:p w14:paraId="5652BCAF" w14:textId="67AC2C58" w:rsidR="00C029B7" w:rsidRPr="00EF7473" w:rsidRDefault="00EF7473" w:rsidP="00254956">
            <w:pPr>
              <w:jc w:val="center"/>
              <w:rPr>
                <w:sz w:val="28"/>
                <w:szCs w:val="28"/>
              </w:rPr>
            </w:pPr>
            <w:r>
              <w:rPr>
                <w:sz w:val="28"/>
                <w:szCs w:val="28"/>
              </w:rPr>
              <w:t xml:space="preserve">-7.2 </w:t>
            </w:r>
            <w:r w:rsidRPr="00C14931">
              <w:rPr>
                <w:b/>
                <w:color w:val="FF0000"/>
                <w:sz w:val="28"/>
                <w:szCs w:val="28"/>
              </w:rPr>
              <w:sym w:font="Wingdings" w:char="F0EA"/>
            </w:r>
          </w:p>
        </w:tc>
      </w:tr>
      <w:tr w:rsidR="00C029B7" w:rsidRPr="00C03994" w14:paraId="305B091D" w14:textId="77777777" w:rsidTr="00B318EA">
        <w:trPr>
          <w:trHeight w:val="397"/>
          <w:jc w:val="center"/>
        </w:trPr>
        <w:tc>
          <w:tcPr>
            <w:tcW w:w="7792" w:type="dxa"/>
            <w:gridSpan w:val="3"/>
            <w:tcBorders>
              <w:bottom w:val="single" w:sz="4" w:space="0" w:color="auto"/>
            </w:tcBorders>
            <w:vAlign w:val="center"/>
          </w:tcPr>
          <w:p w14:paraId="66AE227C" w14:textId="641E310A" w:rsidR="00C029B7" w:rsidRPr="003B5F3E" w:rsidRDefault="00C029B7" w:rsidP="00E57AF3">
            <w:pPr>
              <w:jc w:val="center"/>
              <w:rPr>
                <w:b/>
                <w:sz w:val="28"/>
                <w:szCs w:val="28"/>
              </w:rPr>
            </w:pPr>
            <w:r w:rsidRPr="003B5F3E">
              <w:rPr>
                <w:b/>
                <w:sz w:val="28"/>
                <w:szCs w:val="28"/>
              </w:rPr>
              <w:t>RANK POSITION:</w:t>
            </w:r>
            <w:r w:rsidR="00513443" w:rsidRPr="00BB1909">
              <w:rPr>
                <w:b/>
                <w:sz w:val="28"/>
                <w:szCs w:val="28"/>
              </w:rPr>
              <w:t xml:space="preserve">  </w:t>
            </w:r>
            <w:r w:rsidR="00BB1909">
              <w:rPr>
                <w:b/>
                <w:sz w:val="28"/>
                <w:szCs w:val="28"/>
              </w:rPr>
              <w:t>22</w:t>
            </w:r>
            <w:r w:rsidR="00513443" w:rsidRPr="00BB1909">
              <w:rPr>
                <w:b/>
                <w:sz w:val="28"/>
                <w:szCs w:val="28"/>
              </w:rPr>
              <w:t xml:space="preserve">  </w:t>
            </w:r>
            <w:r w:rsidRPr="003B5F3E">
              <w:rPr>
                <w:b/>
                <w:sz w:val="28"/>
                <w:szCs w:val="28"/>
              </w:rPr>
              <w:t xml:space="preserve">RANK MOVEMENT: </w:t>
            </w:r>
            <w:r w:rsidR="00BB1909">
              <w:rPr>
                <w:b/>
                <w:sz w:val="28"/>
                <w:szCs w:val="28"/>
              </w:rPr>
              <w:t>6</w:t>
            </w:r>
            <w:r w:rsidR="00EF7473">
              <w:rPr>
                <w:b/>
                <w:sz w:val="28"/>
                <w:szCs w:val="28"/>
              </w:rPr>
              <w:t xml:space="preserve"> </w:t>
            </w:r>
            <w:r w:rsidR="00EF7473" w:rsidRPr="00EC5E64">
              <w:rPr>
                <w:b/>
                <w:color w:val="00B050"/>
                <w:sz w:val="28"/>
                <w:szCs w:val="28"/>
              </w:rPr>
              <w:sym w:font="Wingdings" w:char="F0E9"/>
            </w:r>
          </w:p>
        </w:tc>
        <w:tc>
          <w:tcPr>
            <w:tcW w:w="7517" w:type="dxa"/>
            <w:gridSpan w:val="2"/>
            <w:tcBorders>
              <w:bottom w:val="nil"/>
            </w:tcBorders>
            <w:shd w:val="clear" w:color="auto" w:fill="D9D9D9" w:themeFill="background1" w:themeFillShade="D9"/>
            <w:vAlign w:val="center"/>
          </w:tcPr>
          <w:p w14:paraId="416DE79B" w14:textId="77777777" w:rsidR="00C029B7" w:rsidRDefault="00C029B7" w:rsidP="009A329B">
            <w:pPr>
              <w:jc w:val="center"/>
              <w:rPr>
                <w:sz w:val="28"/>
                <w:szCs w:val="28"/>
              </w:rPr>
            </w:pPr>
          </w:p>
        </w:tc>
      </w:tr>
      <w:tr w:rsidR="00C029B7" w:rsidRPr="00C03994" w14:paraId="2A419250" w14:textId="77777777" w:rsidTr="00B318EA">
        <w:trPr>
          <w:trHeight w:val="397"/>
          <w:jc w:val="center"/>
        </w:trPr>
        <w:tc>
          <w:tcPr>
            <w:tcW w:w="7792" w:type="dxa"/>
            <w:gridSpan w:val="3"/>
            <w:tcBorders>
              <w:bottom w:val="nil"/>
            </w:tcBorders>
            <w:shd w:val="clear" w:color="auto" w:fill="D9E2F3" w:themeFill="accent5" w:themeFillTint="33"/>
            <w:vAlign w:val="center"/>
          </w:tcPr>
          <w:p w14:paraId="2F797547" w14:textId="7E27ED17" w:rsidR="00C029B7" w:rsidRPr="003B5F3E" w:rsidRDefault="00C029B7" w:rsidP="003575C1">
            <w:pPr>
              <w:jc w:val="center"/>
              <w:rPr>
                <w:b/>
                <w:sz w:val="28"/>
                <w:szCs w:val="28"/>
              </w:rPr>
            </w:pPr>
            <w:r>
              <w:rPr>
                <w:b/>
                <w:sz w:val="28"/>
                <w:szCs w:val="28"/>
              </w:rPr>
              <w:t>FAMILY GROUP RANKING 201</w:t>
            </w:r>
            <w:r w:rsidR="003575C1">
              <w:rPr>
                <w:b/>
                <w:sz w:val="28"/>
                <w:szCs w:val="28"/>
              </w:rPr>
              <w:t>6</w:t>
            </w:r>
            <w:r>
              <w:rPr>
                <w:b/>
                <w:sz w:val="28"/>
                <w:szCs w:val="28"/>
              </w:rPr>
              <w:t>/1</w:t>
            </w:r>
            <w:r w:rsidR="00E57AF3">
              <w:rPr>
                <w:b/>
                <w:sz w:val="28"/>
                <w:szCs w:val="28"/>
              </w:rPr>
              <w:t>9</w:t>
            </w:r>
          </w:p>
        </w:tc>
        <w:tc>
          <w:tcPr>
            <w:tcW w:w="7517" w:type="dxa"/>
            <w:gridSpan w:val="2"/>
            <w:tcBorders>
              <w:top w:val="nil"/>
              <w:bottom w:val="nil"/>
            </w:tcBorders>
            <w:shd w:val="clear" w:color="auto" w:fill="D9D9D9" w:themeFill="background1" w:themeFillShade="D9"/>
            <w:vAlign w:val="center"/>
          </w:tcPr>
          <w:p w14:paraId="6194F32B" w14:textId="77777777" w:rsidR="00C029B7" w:rsidRDefault="00C029B7" w:rsidP="009A329B">
            <w:pPr>
              <w:jc w:val="center"/>
              <w:rPr>
                <w:sz w:val="28"/>
                <w:szCs w:val="28"/>
              </w:rPr>
            </w:pPr>
          </w:p>
        </w:tc>
      </w:tr>
      <w:tr w:rsidR="00C029B7" w:rsidRPr="00C03994" w14:paraId="1C8AA780" w14:textId="77777777" w:rsidTr="00B318EA">
        <w:trPr>
          <w:trHeight w:val="397"/>
          <w:jc w:val="center"/>
        </w:trPr>
        <w:tc>
          <w:tcPr>
            <w:tcW w:w="7792" w:type="dxa"/>
            <w:gridSpan w:val="3"/>
            <w:tcBorders>
              <w:top w:val="nil"/>
            </w:tcBorders>
            <w:shd w:val="clear" w:color="auto" w:fill="D9E2F3" w:themeFill="accent5" w:themeFillTint="33"/>
            <w:vAlign w:val="center"/>
          </w:tcPr>
          <w:p w14:paraId="3096CACD" w14:textId="0A4C4981" w:rsidR="00C029B7" w:rsidRPr="003B5F3E" w:rsidRDefault="00C029B7" w:rsidP="00BB1909">
            <w:pPr>
              <w:jc w:val="center"/>
              <w:rPr>
                <w:b/>
                <w:sz w:val="28"/>
                <w:szCs w:val="28"/>
              </w:rPr>
            </w:pPr>
            <w:r>
              <w:rPr>
                <w:b/>
                <w:sz w:val="28"/>
                <w:szCs w:val="28"/>
              </w:rPr>
              <w:t>RANK POSITION:</w:t>
            </w:r>
            <w:r w:rsidR="00FD1CF1">
              <w:rPr>
                <w:b/>
                <w:sz w:val="28"/>
                <w:szCs w:val="28"/>
              </w:rPr>
              <w:t xml:space="preserve"> </w:t>
            </w:r>
            <w:r w:rsidR="00BB1909">
              <w:rPr>
                <w:b/>
                <w:sz w:val="28"/>
                <w:szCs w:val="28"/>
              </w:rPr>
              <w:t>4</w:t>
            </w:r>
            <w:r w:rsidR="00FD1CF1">
              <w:rPr>
                <w:b/>
                <w:sz w:val="28"/>
                <w:szCs w:val="28"/>
              </w:rPr>
              <w:t xml:space="preserve">   </w:t>
            </w:r>
            <w:r>
              <w:rPr>
                <w:b/>
                <w:sz w:val="28"/>
                <w:szCs w:val="28"/>
              </w:rPr>
              <w:t xml:space="preserve">RANK MOVEMENT: </w:t>
            </w:r>
            <w:r w:rsidR="00BB1909">
              <w:rPr>
                <w:b/>
                <w:sz w:val="28"/>
                <w:szCs w:val="28"/>
              </w:rPr>
              <w:t>3</w:t>
            </w:r>
            <w:r w:rsidR="00EF7473">
              <w:rPr>
                <w:b/>
                <w:sz w:val="28"/>
                <w:szCs w:val="28"/>
              </w:rPr>
              <w:t xml:space="preserve"> </w:t>
            </w:r>
            <w:r w:rsidR="00EF7473" w:rsidRPr="00EC5E64">
              <w:rPr>
                <w:b/>
                <w:color w:val="00B050"/>
                <w:sz w:val="28"/>
                <w:szCs w:val="28"/>
              </w:rPr>
              <w:sym w:font="Wingdings" w:char="F0E9"/>
            </w:r>
          </w:p>
        </w:tc>
        <w:tc>
          <w:tcPr>
            <w:tcW w:w="7517" w:type="dxa"/>
            <w:gridSpan w:val="2"/>
            <w:tcBorders>
              <w:top w:val="nil"/>
            </w:tcBorders>
            <w:shd w:val="clear" w:color="auto" w:fill="D9D9D9" w:themeFill="background1" w:themeFillShade="D9"/>
            <w:vAlign w:val="center"/>
          </w:tcPr>
          <w:p w14:paraId="23EED5BE" w14:textId="77777777" w:rsidR="00C029B7" w:rsidRDefault="00C029B7" w:rsidP="009A329B">
            <w:pPr>
              <w:jc w:val="center"/>
              <w:rPr>
                <w:sz w:val="28"/>
                <w:szCs w:val="28"/>
              </w:rPr>
            </w:pPr>
          </w:p>
        </w:tc>
      </w:tr>
      <w:tr w:rsidR="00C029B7" w:rsidRPr="00C03994" w14:paraId="3137954B" w14:textId="77777777" w:rsidTr="00F03F11">
        <w:trPr>
          <w:trHeight w:val="397"/>
          <w:jc w:val="center"/>
        </w:trPr>
        <w:tc>
          <w:tcPr>
            <w:tcW w:w="15309" w:type="dxa"/>
            <w:gridSpan w:val="5"/>
            <w:vAlign w:val="center"/>
          </w:tcPr>
          <w:p w14:paraId="0E48AC4D" w14:textId="77777777" w:rsidR="00E205BB" w:rsidRPr="00E205BB" w:rsidRDefault="00E205BB" w:rsidP="00C029B7">
            <w:pPr>
              <w:rPr>
                <w:sz w:val="6"/>
                <w:szCs w:val="6"/>
              </w:rPr>
            </w:pPr>
          </w:p>
          <w:p w14:paraId="1506AE70" w14:textId="77777777" w:rsidR="00C029B7" w:rsidRPr="00C03994" w:rsidRDefault="00C029B7" w:rsidP="000F4CDF">
            <w:pPr>
              <w:spacing w:after="120"/>
              <w:rPr>
                <w:b/>
                <w:sz w:val="28"/>
                <w:szCs w:val="28"/>
              </w:rPr>
            </w:pPr>
            <w:r w:rsidRPr="00C03994">
              <w:rPr>
                <w:b/>
                <w:sz w:val="28"/>
                <w:szCs w:val="28"/>
              </w:rPr>
              <w:t>TELLING OUR STORY:</w:t>
            </w:r>
          </w:p>
          <w:p w14:paraId="637DC0A1" w14:textId="6A53BDB2" w:rsidR="008A46DD" w:rsidRPr="001453C3" w:rsidRDefault="008A46DD" w:rsidP="000F4CDF">
            <w:pPr>
              <w:spacing w:after="120"/>
              <w:rPr>
                <w:rFonts w:cstheme="minorHAnsi"/>
                <w:sz w:val="24"/>
                <w:szCs w:val="24"/>
              </w:rPr>
            </w:pPr>
            <w:r w:rsidRPr="001453C3">
              <w:rPr>
                <w:rFonts w:cstheme="minorHAnsi"/>
                <w:sz w:val="24"/>
                <w:szCs w:val="24"/>
              </w:rPr>
              <w:t xml:space="preserve">The indicator comes from the Scottish Household Survey, and is based on a 3 year rolling average of survey results. </w:t>
            </w:r>
          </w:p>
          <w:p w14:paraId="554B3EB9" w14:textId="42B22FD3" w:rsidR="003575C1" w:rsidRPr="001453C3" w:rsidRDefault="003575C1" w:rsidP="000F4CDF">
            <w:pPr>
              <w:spacing w:after="120"/>
              <w:rPr>
                <w:rFonts w:cstheme="minorHAnsi"/>
                <w:sz w:val="24"/>
                <w:szCs w:val="24"/>
              </w:rPr>
            </w:pPr>
            <w:r w:rsidRPr="001453C3">
              <w:rPr>
                <w:rFonts w:cstheme="minorHAnsi"/>
                <w:sz w:val="24"/>
                <w:szCs w:val="24"/>
              </w:rPr>
              <w:t>For the 4</w:t>
            </w:r>
            <w:r w:rsidRPr="001453C3">
              <w:rPr>
                <w:rFonts w:cstheme="minorHAnsi"/>
                <w:sz w:val="24"/>
                <w:szCs w:val="24"/>
                <w:vertAlign w:val="superscript"/>
              </w:rPr>
              <w:t>th</w:t>
            </w:r>
            <w:r w:rsidRPr="001453C3">
              <w:rPr>
                <w:rFonts w:cstheme="minorHAnsi"/>
                <w:sz w:val="24"/>
                <w:szCs w:val="24"/>
              </w:rPr>
              <w:t xml:space="preserve"> consecutive reporting period, satisfaction with museums and galleries has increased. Between 2015/18 and 2016/19 Argyll and Bute's ranking has moved from the bottom to the third quartile of rankings.</w:t>
            </w:r>
          </w:p>
          <w:p w14:paraId="0FB9D210" w14:textId="624E55AB" w:rsidR="003575C1" w:rsidRPr="001453C3" w:rsidRDefault="003575C1" w:rsidP="000F4CDF">
            <w:pPr>
              <w:spacing w:after="120"/>
              <w:rPr>
                <w:rFonts w:cstheme="minorHAnsi"/>
                <w:sz w:val="24"/>
                <w:szCs w:val="24"/>
              </w:rPr>
            </w:pPr>
            <w:r w:rsidRPr="001453C3">
              <w:rPr>
                <w:rFonts w:cstheme="minorHAnsi"/>
                <w:sz w:val="24"/>
                <w:szCs w:val="24"/>
              </w:rPr>
              <w:t>The SHS does not provide any insight into specific causes of satisfaction/dissatisfaction.</w:t>
            </w:r>
          </w:p>
          <w:p w14:paraId="1F716960" w14:textId="0BC5B813" w:rsidR="003575C1" w:rsidRPr="001453C3" w:rsidRDefault="00A83337" w:rsidP="000F4CDF">
            <w:pPr>
              <w:spacing w:after="120"/>
              <w:rPr>
                <w:rFonts w:cstheme="minorHAnsi"/>
                <w:sz w:val="24"/>
                <w:szCs w:val="24"/>
              </w:rPr>
            </w:pPr>
            <w:r w:rsidRPr="001453C3">
              <w:rPr>
                <w:rFonts w:cstheme="minorHAnsi"/>
                <w:sz w:val="24"/>
                <w:szCs w:val="24"/>
              </w:rPr>
              <w:t>Note that the SHS specifically asks about museums and galleries in the context of Council services. There are only two such facilities in Argyll and Bute that receive support from the Council: Campbeltown Museum and Kilmartin Museum. Thus many residents have only limited access to such facilities.</w:t>
            </w:r>
          </w:p>
          <w:p w14:paraId="7FFD3DC4" w14:textId="77777777" w:rsidR="003575C1" w:rsidRPr="00E205BB" w:rsidRDefault="003575C1" w:rsidP="00E57AF3">
            <w:pPr>
              <w:rPr>
                <w:rFonts w:ascii="Arial" w:hAnsi="Arial" w:cs="Arial"/>
                <w:szCs w:val="28"/>
              </w:rPr>
            </w:pPr>
          </w:p>
        </w:tc>
      </w:tr>
      <w:tr w:rsidR="00C029B7" w:rsidRPr="00C03994" w14:paraId="7FF7688F" w14:textId="77777777" w:rsidTr="00F03F11">
        <w:trPr>
          <w:trHeight w:val="397"/>
          <w:jc w:val="center"/>
        </w:trPr>
        <w:tc>
          <w:tcPr>
            <w:tcW w:w="15309" w:type="dxa"/>
            <w:gridSpan w:val="5"/>
            <w:vAlign w:val="center"/>
          </w:tcPr>
          <w:p w14:paraId="3C673949" w14:textId="77777777" w:rsidR="00E205BB" w:rsidRPr="00E205BB" w:rsidRDefault="00E205BB" w:rsidP="00C029B7">
            <w:pPr>
              <w:rPr>
                <w:sz w:val="6"/>
                <w:szCs w:val="6"/>
              </w:rPr>
            </w:pPr>
          </w:p>
          <w:p w14:paraId="5F0D7398" w14:textId="77777777" w:rsidR="00C029B7" w:rsidRPr="00C03994" w:rsidRDefault="00C029B7" w:rsidP="000F4CDF">
            <w:pPr>
              <w:spacing w:after="120"/>
              <w:rPr>
                <w:b/>
                <w:sz w:val="28"/>
                <w:szCs w:val="28"/>
              </w:rPr>
            </w:pPr>
            <w:r>
              <w:rPr>
                <w:b/>
                <w:sz w:val="28"/>
                <w:szCs w:val="28"/>
              </w:rPr>
              <w:t>LOOKING FORWARD - EXPECTED IMPACT ON INDICATOR</w:t>
            </w:r>
            <w:r w:rsidRPr="00C03994">
              <w:rPr>
                <w:b/>
                <w:sz w:val="28"/>
                <w:szCs w:val="28"/>
              </w:rPr>
              <w:t>:</w:t>
            </w:r>
          </w:p>
          <w:p w14:paraId="1EE98747" w14:textId="688A55C7" w:rsidR="00320E1A" w:rsidRPr="000F4CDF" w:rsidRDefault="00601DB2" w:rsidP="000F4CDF">
            <w:pPr>
              <w:spacing w:after="120"/>
              <w:rPr>
                <w:rFonts w:cstheme="minorHAnsi"/>
                <w:sz w:val="24"/>
                <w:szCs w:val="24"/>
              </w:rPr>
            </w:pPr>
            <w:r w:rsidRPr="000F4CDF">
              <w:rPr>
                <w:rFonts w:cstheme="minorHAnsi"/>
                <w:sz w:val="24"/>
                <w:szCs w:val="24"/>
              </w:rPr>
              <w:t xml:space="preserve">Pleasing to see that satisfaction continues to rise.  There are works progressing within the building to allow better access to customers of the Museum and this should show a positive impact.  Again, </w:t>
            </w:r>
            <w:r w:rsidR="00A95B6B">
              <w:rPr>
                <w:rFonts w:cstheme="minorHAnsi"/>
                <w:sz w:val="24"/>
                <w:szCs w:val="24"/>
              </w:rPr>
              <w:t>COVID</w:t>
            </w:r>
            <w:r w:rsidRPr="000F4CDF">
              <w:rPr>
                <w:rFonts w:cstheme="minorHAnsi"/>
                <w:sz w:val="24"/>
                <w:szCs w:val="24"/>
              </w:rPr>
              <w:t xml:space="preserve"> has had a major impact and the Museum has been shut to the public since March 2020</w:t>
            </w:r>
          </w:p>
        </w:tc>
      </w:tr>
      <w:tr w:rsidR="00912400" w:rsidRPr="005D65E6" w14:paraId="19992F6F" w14:textId="77777777" w:rsidTr="00912400">
        <w:trPr>
          <w:trHeight w:val="794"/>
          <w:jc w:val="center"/>
        </w:trPr>
        <w:tc>
          <w:tcPr>
            <w:tcW w:w="15309" w:type="dxa"/>
            <w:gridSpan w:val="5"/>
            <w:vAlign w:val="center"/>
          </w:tcPr>
          <w:p w14:paraId="0E48CACF" w14:textId="77777777" w:rsidR="00912400" w:rsidRPr="005D65E6" w:rsidRDefault="00912400" w:rsidP="005D65E6">
            <w:pPr>
              <w:rPr>
                <w:b/>
                <w:sz w:val="32"/>
              </w:rPr>
            </w:pPr>
            <w:r w:rsidRPr="005D65E6">
              <w:rPr>
                <w:b/>
                <w:sz w:val="32"/>
              </w:rPr>
              <w:lastRenderedPageBreak/>
              <w:t>SERVICE: COMMUNITY AND CULTURE</w:t>
            </w:r>
          </w:p>
        </w:tc>
      </w:tr>
      <w:tr w:rsidR="00C03994" w:rsidRPr="00196B10" w14:paraId="11FFCB6C" w14:textId="77777777" w:rsidTr="00513443">
        <w:trPr>
          <w:trHeight w:val="567"/>
          <w:jc w:val="center"/>
        </w:trPr>
        <w:tc>
          <w:tcPr>
            <w:tcW w:w="15309" w:type="dxa"/>
            <w:gridSpan w:val="5"/>
            <w:vAlign w:val="center"/>
          </w:tcPr>
          <w:p w14:paraId="24BD6CB3" w14:textId="77777777" w:rsidR="00C03994" w:rsidRPr="00196B10" w:rsidRDefault="00C03994" w:rsidP="009A329B">
            <w:pPr>
              <w:pStyle w:val="Heading1"/>
              <w:spacing w:before="0"/>
              <w:outlineLvl w:val="0"/>
              <w:rPr>
                <w:b/>
                <w:color w:val="auto"/>
              </w:rPr>
            </w:pPr>
            <w:bookmarkStart w:id="35" w:name="_Toc56757713"/>
            <w:r w:rsidRPr="00196B10">
              <w:rPr>
                <w:b/>
                <w:color w:val="auto"/>
              </w:rPr>
              <w:t xml:space="preserve">INDICATOR REF: C&amp;L5d - </w:t>
            </w:r>
            <w:r w:rsidR="00302DC2" w:rsidRPr="00196B10">
              <w:rPr>
                <w:b/>
                <w:color w:val="auto"/>
              </w:rPr>
              <w:t>Percentage</w:t>
            </w:r>
            <w:r w:rsidRPr="00196B10">
              <w:rPr>
                <w:b/>
                <w:color w:val="auto"/>
              </w:rPr>
              <w:t xml:space="preserve"> of adults satisfied with leisure facilities</w:t>
            </w:r>
            <w:bookmarkEnd w:id="35"/>
            <w:r w:rsidR="00CA7DF1" w:rsidRPr="00196B10">
              <w:rPr>
                <w:b/>
                <w:color w:val="auto"/>
              </w:rPr>
              <w:t xml:space="preserve"> </w:t>
            </w:r>
            <w:r w:rsidR="00CA7DF1" w:rsidRPr="00196B10">
              <w:rPr>
                <w:b/>
                <w:color w:val="auto"/>
              </w:rPr>
              <w:tab/>
            </w:r>
          </w:p>
        </w:tc>
      </w:tr>
      <w:tr w:rsidR="008F2E9A" w:rsidRPr="00C03994" w14:paraId="3037BA26" w14:textId="77777777" w:rsidTr="00513443">
        <w:trPr>
          <w:trHeight w:val="454"/>
          <w:jc w:val="center"/>
        </w:trPr>
        <w:tc>
          <w:tcPr>
            <w:tcW w:w="15309" w:type="dxa"/>
            <w:gridSpan w:val="5"/>
            <w:vAlign w:val="center"/>
          </w:tcPr>
          <w:p w14:paraId="1D2BB126" w14:textId="1A4A1D74" w:rsidR="008F2E9A" w:rsidRPr="006F0AC0" w:rsidRDefault="008F2E9A" w:rsidP="00E57AF3">
            <w:pPr>
              <w:jc w:val="center"/>
              <w:rPr>
                <w:b/>
                <w:color w:val="0070C0"/>
                <w:sz w:val="28"/>
                <w:szCs w:val="28"/>
              </w:rPr>
            </w:pPr>
            <w:r w:rsidRPr="00C577BD">
              <w:rPr>
                <w:b/>
                <w:color w:val="0070C0"/>
                <w:sz w:val="28"/>
                <w:szCs w:val="28"/>
              </w:rPr>
              <w:t>Performance Range:</w:t>
            </w:r>
            <w:r w:rsidR="006F0AC0" w:rsidRPr="004C7782">
              <w:rPr>
                <w:b/>
                <w:color w:val="0070C0"/>
                <w:sz w:val="28"/>
                <w:szCs w:val="28"/>
              </w:rPr>
              <w:t xml:space="preserve"> </w:t>
            </w:r>
            <w:r w:rsidR="005F1653">
              <w:rPr>
                <w:b/>
                <w:color w:val="0070C0"/>
                <w:sz w:val="28"/>
                <w:szCs w:val="28"/>
              </w:rPr>
              <w:t>39.67</w:t>
            </w:r>
            <w:r w:rsidR="006F0AC0">
              <w:rPr>
                <w:b/>
                <w:color w:val="0070C0"/>
                <w:sz w:val="28"/>
                <w:szCs w:val="28"/>
              </w:rPr>
              <w:t xml:space="preserve">% to </w:t>
            </w:r>
            <w:r w:rsidR="005F1653">
              <w:rPr>
                <w:b/>
                <w:color w:val="0070C0"/>
                <w:sz w:val="28"/>
                <w:szCs w:val="28"/>
              </w:rPr>
              <w:t>88.97</w:t>
            </w:r>
            <w:r w:rsidR="006F0AC0">
              <w:rPr>
                <w:b/>
                <w:color w:val="0070C0"/>
                <w:sz w:val="28"/>
                <w:szCs w:val="28"/>
              </w:rPr>
              <w:t>%</w:t>
            </w:r>
            <w:r w:rsidR="005E2139">
              <w:rPr>
                <w:b/>
                <w:color w:val="0070C0"/>
                <w:sz w:val="28"/>
                <w:szCs w:val="28"/>
              </w:rPr>
              <w:t xml:space="preserve"> </w:t>
            </w:r>
            <w:r w:rsidR="000E0F6F">
              <w:rPr>
                <w:b/>
                <w:color w:val="0070C0"/>
                <w:sz w:val="28"/>
                <w:szCs w:val="28"/>
              </w:rPr>
              <w:t xml:space="preserve"> </w:t>
            </w:r>
            <w:r w:rsidR="005E2139" w:rsidRPr="005E2139">
              <w:rPr>
                <w:b/>
                <w:color w:val="0070C0"/>
                <w:sz w:val="28"/>
                <w:szCs w:val="28"/>
              </w:rPr>
              <w:t>(Highest is best)</w:t>
            </w:r>
          </w:p>
        </w:tc>
      </w:tr>
      <w:tr w:rsidR="00C03994" w:rsidRPr="00C03994" w14:paraId="7630DC4B" w14:textId="77777777" w:rsidTr="00513443">
        <w:trPr>
          <w:trHeight w:val="397"/>
          <w:jc w:val="center"/>
        </w:trPr>
        <w:tc>
          <w:tcPr>
            <w:tcW w:w="7650" w:type="dxa"/>
            <w:gridSpan w:val="2"/>
            <w:shd w:val="clear" w:color="auto" w:fill="D9E2F3" w:themeFill="accent5" w:themeFillTint="33"/>
            <w:vAlign w:val="center"/>
          </w:tcPr>
          <w:p w14:paraId="64ED183F" w14:textId="77777777" w:rsidR="00C03994" w:rsidRPr="00C03994" w:rsidRDefault="00C03994" w:rsidP="009A329B">
            <w:pPr>
              <w:jc w:val="center"/>
              <w:rPr>
                <w:b/>
                <w:sz w:val="28"/>
                <w:szCs w:val="28"/>
              </w:rPr>
            </w:pPr>
            <w:r w:rsidRPr="00C03994">
              <w:rPr>
                <w:b/>
                <w:sz w:val="28"/>
                <w:szCs w:val="28"/>
              </w:rPr>
              <w:t>ARGYLL AND BUTE</w:t>
            </w:r>
          </w:p>
        </w:tc>
        <w:tc>
          <w:tcPr>
            <w:tcW w:w="7659" w:type="dxa"/>
            <w:gridSpan w:val="3"/>
            <w:shd w:val="clear" w:color="auto" w:fill="D9E2F3" w:themeFill="accent5" w:themeFillTint="33"/>
            <w:vAlign w:val="center"/>
          </w:tcPr>
          <w:p w14:paraId="76C81DEC" w14:textId="77777777" w:rsidR="00C03994" w:rsidRPr="00C03994" w:rsidRDefault="00C03994" w:rsidP="009A329B">
            <w:pPr>
              <w:jc w:val="center"/>
              <w:rPr>
                <w:b/>
                <w:sz w:val="28"/>
                <w:szCs w:val="28"/>
              </w:rPr>
            </w:pPr>
            <w:r w:rsidRPr="00C03994">
              <w:rPr>
                <w:b/>
                <w:sz w:val="28"/>
                <w:szCs w:val="28"/>
              </w:rPr>
              <w:t>SCOTLAND</w:t>
            </w:r>
          </w:p>
        </w:tc>
      </w:tr>
      <w:tr w:rsidR="00C03994" w:rsidRPr="00C03994" w14:paraId="0B520B42" w14:textId="77777777" w:rsidTr="00513443">
        <w:trPr>
          <w:trHeight w:val="397"/>
          <w:jc w:val="center"/>
        </w:trPr>
        <w:tc>
          <w:tcPr>
            <w:tcW w:w="7650" w:type="dxa"/>
            <w:gridSpan w:val="2"/>
            <w:vAlign w:val="center"/>
          </w:tcPr>
          <w:p w14:paraId="4B80294C" w14:textId="2858B911" w:rsidR="00C03994" w:rsidRPr="004618FC" w:rsidRDefault="005F1653" w:rsidP="009A329B">
            <w:pPr>
              <w:jc w:val="center"/>
              <w:rPr>
                <w:b/>
                <w:sz w:val="28"/>
                <w:szCs w:val="28"/>
              </w:rPr>
            </w:pPr>
            <w:r>
              <w:rPr>
                <w:b/>
                <w:sz w:val="28"/>
                <w:szCs w:val="28"/>
              </w:rPr>
              <w:t>69.10</w:t>
            </w:r>
            <w:r w:rsidR="00E57AF3">
              <w:rPr>
                <w:b/>
                <w:sz w:val="28"/>
                <w:szCs w:val="28"/>
              </w:rPr>
              <w:t>%</w:t>
            </w:r>
          </w:p>
        </w:tc>
        <w:tc>
          <w:tcPr>
            <w:tcW w:w="7659" w:type="dxa"/>
            <w:gridSpan w:val="3"/>
            <w:vAlign w:val="center"/>
          </w:tcPr>
          <w:p w14:paraId="0EBD32C9" w14:textId="6AD8CAE7" w:rsidR="00C03994" w:rsidRPr="00C03994" w:rsidRDefault="005F1653" w:rsidP="009A329B">
            <w:pPr>
              <w:jc w:val="center"/>
              <w:rPr>
                <w:b/>
                <w:sz w:val="28"/>
                <w:szCs w:val="28"/>
              </w:rPr>
            </w:pPr>
            <w:r>
              <w:rPr>
                <w:b/>
                <w:sz w:val="28"/>
                <w:szCs w:val="28"/>
              </w:rPr>
              <w:t>71.43</w:t>
            </w:r>
            <w:r w:rsidR="00E57AF3">
              <w:rPr>
                <w:b/>
                <w:sz w:val="28"/>
                <w:szCs w:val="28"/>
              </w:rPr>
              <w:t>%</w:t>
            </w:r>
          </w:p>
        </w:tc>
      </w:tr>
      <w:tr w:rsidR="00513443" w:rsidRPr="00C03994" w14:paraId="21B65705" w14:textId="77777777" w:rsidTr="00513443">
        <w:trPr>
          <w:trHeight w:val="397"/>
          <w:jc w:val="center"/>
        </w:trPr>
        <w:tc>
          <w:tcPr>
            <w:tcW w:w="5949" w:type="dxa"/>
            <w:vAlign w:val="center"/>
          </w:tcPr>
          <w:p w14:paraId="6586AC54" w14:textId="175C912C" w:rsidR="00513443" w:rsidRPr="004618FC" w:rsidRDefault="00513443" w:rsidP="00E57AF3">
            <w:pPr>
              <w:jc w:val="center"/>
              <w:rPr>
                <w:b/>
                <w:sz w:val="28"/>
                <w:szCs w:val="28"/>
              </w:rPr>
            </w:pPr>
            <w:r w:rsidRPr="00721B18">
              <w:rPr>
                <w:b/>
                <w:sz w:val="28"/>
                <w:szCs w:val="28"/>
              </w:rPr>
              <w:t>CHANGE 201</w:t>
            </w:r>
            <w:r w:rsidR="00E57AF3">
              <w:rPr>
                <w:b/>
                <w:sz w:val="28"/>
                <w:szCs w:val="28"/>
              </w:rPr>
              <w:t>7</w:t>
            </w:r>
            <w:r w:rsidRPr="00721B18">
              <w:rPr>
                <w:b/>
                <w:sz w:val="28"/>
                <w:szCs w:val="28"/>
              </w:rPr>
              <w:t>/1</w:t>
            </w:r>
            <w:r w:rsidR="00E57AF3">
              <w:rPr>
                <w:b/>
                <w:sz w:val="28"/>
                <w:szCs w:val="28"/>
              </w:rPr>
              <w:t>8</w:t>
            </w:r>
            <w:r w:rsidRPr="00721B18">
              <w:rPr>
                <w:b/>
                <w:sz w:val="28"/>
                <w:szCs w:val="28"/>
              </w:rPr>
              <w:t xml:space="preserve"> TO </w:t>
            </w:r>
            <w:r>
              <w:rPr>
                <w:b/>
                <w:sz w:val="28"/>
                <w:szCs w:val="28"/>
              </w:rPr>
              <w:t>201</w:t>
            </w:r>
            <w:r w:rsidR="00E57AF3">
              <w:rPr>
                <w:b/>
                <w:sz w:val="28"/>
                <w:szCs w:val="28"/>
              </w:rPr>
              <w:t>8</w:t>
            </w:r>
            <w:r>
              <w:rPr>
                <w:b/>
                <w:sz w:val="28"/>
                <w:szCs w:val="28"/>
              </w:rPr>
              <w:t>/1</w:t>
            </w:r>
            <w:r w:rsidR="00E57AF3">
              <w:rPr>
                <w:b/>
                <w:sz w:val="28"/>
                <w:szCs w:val="28"/>
              </w:rPr>
              <w:t>9</w:t>
            </w:r>
          </w:p>
        </w:tc>
        <w:tc>
          <w:tcPr>
            <w:tcW w:w="1701" w:type="dxa"/>
            <w:vAlign w:val="center"/>
          </w:tcPr>
          <w:p w14:paraId="7A8E0C0C" w14:textId="4C511710" w:rsidR="00513443" w:rsidRPr="004618FC" w:rsidRDefault="005F1653" w:rsidP="009A329B">
            <w:pPr>
              <w:jc w:val="center"/>
              <w:rPr>
                <w:b/>
                <w:sz w:val="28"/>
                <w:szCs w:val="28"/>
              </w:rPr>
            </w:pPr>
            <w:r>
              <w:rPr>
                <w:b/>
                <w:sz w:val="28"/>
                <w:szCs w:val="28"/>
              </w:rPr>
              <w:t>2.77</w:t>
            </w:r>
            <w:r w:rsidR="00EF7473">
              <w:rPr>
                <w:b/>
                <w:sz w:val="28"/>
                <w:szCs w:val="28"/>
              </w:rPr>
              <w:t xml:space="preserve"> </w:t>
            </w:r>
            <w:r w:rsidR="00EF7473" w:rsidRPr="00EC5E64">
              <w:rPr>
                <w:b/>
                <w:color w:val="00B050"/>
                <w:sz w:val="28"/>
                <w:szCs w:val="28"/>
              </w:rPr>
              <w:sym w:font="Wingdings" w:char="F0E9"/>
            </w:r>
          </w:p>
        </w:tc>
        <w:tc>
          <w:tcPr>
            <w:tcW w:w="5953" w:type="dxa"/>
            <w:gridSpan w:val="2"/>
            <w:vAlign w:val="center"/>
          </w:tcPr>
          <w:p w14:paraId="36711A07" w14:textId="6AD72D81" w:rsidR="00513443" w:rsidRDefault="00513443" w:rsidP="00E57AF3">
            <w:pPr>
              <w:jc w:val="center"/>
              <w:rPr>
                <w:b/>
                <w:sz w:val="28"/>
                <w:szCs w:val="28"/>
              </w:rPr>
            </w:pPr>
            <w:r>
              <w:rPr>
                <w:sz w:val="28"/>
                <w:szCs w:val="28"/>
              </w:rPr>
              <w:t>CHANGE 201</w:t>
            </w:r>
            <w:r w:rsidR="00E57AF3">
              <w:rPr>
                <w:sz w:val="28"/>
                <w:szCs w:val="28"/>
              </w:rPr>
              <w:t>7</w:t>
            </w:r>
            <w:r>
              <w:rPr>
                <w:sz w:val="28"/>
                <w:szCs w:val="28"/>
              </w:rPr>
              <w:t>/1</w:t>
            </w:r>
            <w:r w:rsidR="00E57AF3">
              <w:rPr>
                <w:sz w:val="28"/>
                <w:szCs w:val="28"/>
              </w:rPr>
              <w:t>8</w:t>
            </w:r>
            <w:r>
              <w:rPr>
                <w:sz w:val="28"/>
                <w:szCs w:val="28"/>
              </w:rPr>
              <w:t xml:space="preserve"> TO 201</w:t>
            </w:r>
            <w:r w:rsidR="00E57AF3">
              <w:rPr>
                <w:sz w:val="28"/>
                <w:szCs w:val="28"/>
              </w:rPr>
              <w:t>8</w:t>
            </w:r>
            <w:r>
              <w:rPr>
                <w:sz w:val="28"/>
                <w:szCs w:val="28"/>
              </w:rPr>
              <w:t>/1</w:t>
            </w:r>
            <w:r w:rsidR="00E57AF3">
              <w:rPr>
                <w:sz w:val="28"/>
                <w:szCs w:val="28"/>
              </w:rPr>
              <w:t>9</w:t>
            </w:r>
          </w:p>
        </w:tc>
        <w:tc>
          <w:tcPr>
            <w:tcW w:w="1706" w:type="dxa"/>
            <w:vAlign w:val="center"/>
          </w:tcPr>
          <w:p w14:paraId="2C004726" w14:textId="1C7DE917" w:rsidR="00513443" w:rsidRPr="00EF7473" w:rsidRDefault="00EF7473" w:rsidP="00254956">
            <w:pPr>
              <w:jc w:val="center"/>
              <w:rPr>
                <w:b/>
                <w:sz w:val="28"/>
                <w:szCs w:val="28"/>
              </w:rPr>
            </w:pPr>
            <w:r>
              <w:rPr>
                <w:sz w:val="28"/>
                <w:szCs w:val="28"/>
              </w:rPr>
              <w:t xml:space="preserve">-1.23 </w:t>
            </w:r>
            <w:r w:rsidRPr="00C14931">
              <w:rPr>
                <w:b/>
                <w:color w:val="FF0000"/>
                <w:sz w:val="28"/>
                <w:szCs w:val="28"/>
              </w:rPr>
              <w:sym w:font="Wingdings" w:char="F0EA"/>
            </w:r>
          </w:p>
        </w:tc>
      </w:tr>
      <w:tr w:rsidR="00513443" w:rsidRPr="00C03994" w14:paraId="0A8059F2" w14:textId="77777777" w:rsidTr="00513443">
        <w:trPr>
          <w:trHeight w:val="397"/>
          <w:jc w:val="center"/>
        </w:trPr>
        <w:tc>
          <w:tcPr>
            <w:tcW w:w="5949" w:type="dxa"/>
            <w:vAlign w:val="center"/>
          </w:tcPr>
          <w:p w14:paraId="6B3528F7" w14:textId="1B72A568" w:rsidR="00513443" w:rsidRPr="00721B18" w:rsidRDefault="00513443" w:rsidP="00E57AF3">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w:t>
            </w:r>
            <w:r w:rsidR="00E57AF3">
              <w:rPr>
                <w:b/>
                <w:sz w:val="28"/>
                <w:szCs w:val="28"/>
              </w:rPr>
              <w:t>8</w:t>
            </w:r>
            <w:r>
              <w:rPr>
                <w:b/>
                <w:sz w:val="28"/>
                <w:szCs w:val="28"/>
              </w:rPr>
              <w:t>/1</w:t>
            </w:r>
            <w:r w:rsidR="00E57AF3">
              <w:rPr>
                <w:b/>
                <w:sz w:val="28"/>
                <w:szCs w:val="28"/>
              </w:rPr>
              <w:t>9</w:t>
            </w:r>
          </w:p>
        </w:tc>
        <w:tc>
          <w:tcPr>
            <w:tcW w:w="1701" w:type="dxa"/>
            <w:vAlign w:val="center"/>
          </w:tcPr>
          <w:p w14:paraId="717176E0" w14:textId="28420CBA" w:rsidR="00513443" w:rsidRDefault="005F1653" w:rsidP="009A329B">
            <w:pPr>
              <w:jc w:val="center"/>
              <w:rPr>
                <w:b/>
                <w:sz w:val="28"/>
                <w:szCs w:val="28"/>
              </w:rPr>
            </w:pPr>
            <w:r>
              <w:rPr>
                <w:b/>
                <w:sz w:val="28"/>
                <w:szCs w:val="28"/>
              </w:rPr>
              <w:t>10.13</w:t>
            </w:r>
            <w:r w:rsidR="00EF7473">
              <w:rPr>
                <w:b/>
                <w:sz w:val="28"/>
                <w:szCs w:val="28"/>
              </w:rPr>
              <w:t xml:space="preserve"> </w:t>
            </w:r>
            <w:r w:rsidR="00EF7473" w:rsidRPr="00EC5E64">
              <w:rPr>
                <w:b/>
                <w:color w:val="00B050"/>
                <w:sz w:val="28"/>
                <w:szCs w:val="28"/>
              </w:rPr>
              <w:sym w:font="Wingdings" w:char="F0E9"/>
            </w:r>
          </w:p>
        </w:tc>
        <w:tc>
          <w:tcPr>
            <w:tcW w:w="5953" w:type="dxa"/>
            <w:gridSpan w:val="2"/>
            <w:tcBorders>
              <w:bottom w:val="single" w:sz="4" w:space="0" w:color="auto"/>
            </w:tcBorders>
            <w:vAlign w:val="center"/>
          </w:tcPr>
          <w:p w14:paraId="28EA65FD" w14:textId="40E83BBD" w:rsidR="00513443" w:rsidRDefault="00513443" w:rsidP="00E57AF3">
            <w:pPr>
              <w:jc w:val="center"/>
              <w:rPr>
                <w:sz w:val="28"/>
                <w:szCs w:val="28"/>
              </w:rPr>
            </w:pPr>
            <w:r>
              <w:rPr>
                <w:sz w:val="28"/>
                <w:szCs w:val="28"/>
              </w:rPr>
              <w:t xml:space="preserve">CHANGE </w:t>
            </w:r>
            <w:r w:rsidRPr="00903E39">
              <w:rPr>
                <w:sz w:val="28"/>
                <w:szCs w:val="28"/>
              </w:rPr>
              <w:t xml:space="preserve">BASE YEAR </w:t>
            </w:r>
            <w:r>
              <w:rPr>
                <w:sz w:val="28"/>
                <w:szCs w:val="28"/>
              </w:rPr>
              <w:t>TO 201</w:t>
            </w:r>
            <w:r w:rsidR="00E57AF3">
              <w:rPr>
                <w:sz w:val="28"/>
                <w:szCs w:val="28"/>
              </w:rPr>
              <w:t>8</w:t>
            </w:r>
            <w:r>
              <w:rPr>
                <w:sz w:val="28"/>
                <w:szCs w:val="28"/>
              </w:rPr>
              <w:t>/1</w:t>
            </w:r>
            <w:r w:rsidR="00E57AF3">
              <w:rPr>
                <w:sz w:val="28"/>
                <w:szCs w:val="28"/>
              </w:rPr>
              <w:t>9</w:t>
            </w:r>
          </w:p>
        </w:tc>
        <w:tc>
          <w:tcPr>
            <w:tcW w:w="1706" w:type="dxa"/>
            <w:tcBorders>
              <w:bottom w:val="single" w:sz="4" w:space="0" w:color="auto"/>
            </w:tcBorders>
            <w:vAlign w:val="center"/>
          </w:tcPr>
          <w:p w14:paraId="43576311" w14:textId="03182025" w:rsidR="00513443" w:rsidRPr="00EF7473" w:rsidRDefault="00EF7473" w:rsidP="00254956">
            <w:pPr>
              <w:jc w:val="center"/>
              <w:rPr>
                <w:sz w:val="28"/>
                <w:szCs w:val="28"/>
              </w:rPr>
            </w:pPr>
            <w:r>
              <w:rPr>
                <w:sz w:val="28"/>
                <w:szCs w:val="28"/>
              </w:rPr>
              <w:t xml:space="preserve">-6.1 </w:t>
            </w:r>
            <w:r w:rsidRPr="00C14931">
              <w:rPr>
                <w:b/>
                <w:color w:val="FF0000"/>
                <w:sz w:val="28"/>
                <w:szCs w:val="28"/>
              </w:rPr>
              <w:sym w:font="Wingdings" w:char="F0EA"/>
            </w:r>
          </w:p>
        </w:tc>
      </w:tr>
      <w:tr w:rsidR="00513443" w:rsidRPr="00C03994" w14:paraId="266D545E" w14:textId="77777777" w:rsidTr="00B318EA">
        <w:trPr>
          <w:trHeight w:val="397"/>
          <w:jc w:val="center"/>
        </w:trPr>
        <w:tc>
          <w:tcPr>
            <w:tcW w:w="7650" w:type="dxa"/>
            <w:gridSpan w:val="2"/>
            <w:tcBorders>
              <w:bottom w:val="single" w:sz="4" w:space="0" w:color="auto"/>
            </w:tcBorders>
            <w:vAlign w:val="center"/>
          </w:tcPr>
          <w:p w14:paraId="7907596D" w14:textId="5391774B" w:rsidR="00513443" w:rsidRPr="004618FC" w:rsidRDefault="00513443" w:rsidP="00E57AF3">
            <w:pPr>
              <w:jc w:val="center"/>
              <w:rPr>
                <w:b/>
                <w:sz w:val="28"/>
                <w:szCs w:val="28"/>
              </w:rPr>
            </w:pPr>
            <w:r w:rsidRPr="004618FC">
              <w:rPr>
                <w:b/>
                <w:sz w:val="28"/>
                <w:szCs w:val="28"/>
              </w:rPr>
              <w:t>RANK POSITION</w:t>
            </w:r>
            <w:r w:rsidRPr="005F1653">
              <w:rPr>
                <w:b/>
                <w:sz w:val="28"/>
                <w:szCs w:val="28"/>
              </w:rPr>
              <w:t xml:space="preserve">:  </w:t>
            </w:r>
            <w:r w:rsidR="005F1653">
              <w:rPr>
                <w:b/>
                <w:sz w:val="28"/>
                <w:szCs w:val="28"/>
              </w:rPr>
              <w:t>22</w:t>
            </w:r>
            <w:r w:rsidRPr="005F1653">
              <w:rPr>
                <w:b/>
                <w:sz w:val="28"/>
                <w:szCs w:val="28"/>
              </w:rPr>
              <w:t xml:space="preserve">  </w:t>
            </w:r>
            <w:r w:rsidRPr="004618FC">
              <w:rPr>
                <w:b/>
                <w:sz w:val="28"/>
                <w:szCs w:val="28"/>
              </w:rPr>
              <w:t xml:space="preserve">RANK MOVEMENT: </w:t>
            </w:r>
            <w:r w:rsidR="005F1653">
              <w:rPr>
                <w:b/>
                <w:sz w:val="28"/>
                <w:szCs w:val="28"/>
              </w:rPr>
              <w:t>7</w:t>
            </w:r>
            <w:r w:rsidR="00EF7473">
              <w:rPr>
                <w:b/>
                <w:sz w:val="28"/>
                <w:szCs w:val="28"/>
              </w:rPr>
              <w:t xml:space="preserve"> </w:t>
            </w:r>
            <w:r w:rsidR="00EF7473" w:rsidRPr="00EC5E64">
              <w:rPr>
                <w:b/>
                <w:color w:val="00B050"/>
                <w:sz w:val="28"/>
                <w:szCs w:val="28"/>
              </w:rPr>
              <w:sym w:font="Wingdings" w:char="F0E9"/>
            </w:r>
          </w:p>
        </w:tc>
        <w:tc>
          <w:tcPr>
            <w:tcW w:w="7659" w:type="dxa"/>
            <w:gridSpan w:val="3"/>
            <w:tcBorders>
              <w:bottom w:val="nil"/>
            </w:tcBorders>
            <w:shd w:val="clear" w:color="auto" w:fill="D9D9D9" w:themeFill="background1" w:themeFillShade="D9"/>
            <w:vAlign w:val="center"/>
          </w:tcPr>
          <w:p w14:paraId="29FE9380" w14:textId="77777777" w:rsidR="00513443" w:rsidRDefault="00513443" w:rsidP="009A329B">
            <w:pPr>
              <w:jc w:val="center"/>
              <w:rPr>
                <w:sz w:val="28"/>
                <w:szCs w:val="28"/>
              </w:rPr>
            </w:pPr>
          </w:p>
        </w:tc>
      </w:tr>
      <w:tr w:rsidR="00513443" w:rsidRPr="00C03994" w14:paraId="4AB0974E" w14:textId="77777777" w:rsidTr="00B318EA">
        <w:trPr>
          <w:trHeight w:val="397"/>
          <w:jc w:val="center"/>
        </w:trPr>
        <w:tc>
          <w:tcPr>
            <w:tcW w:w="7650" w:type="dxa"/>
            <w:gridSpan w:val="2"/>
            <w:tcBorders>
              <w:bottom w:val="nil"/>
            </w:tcBorders>
            <w:shd w:val="clear" w:color="auto" w:fill="D9E2F3" w:themeFill="accent5" w:themeFillTint="33"/>
            <w:vAlign w:val="center"/>
          </w:tcPr>
          <w:p w14:paraId="4B4A5CD6" w14:textId="7F32B5A8" w:rsidR="00513443" w:rsidRPr="004618FC" w:rsidRDefault="00513443" w:rsidP="00E57AF3">
            <w:pPr>
              <w:jc w:val="center"/>
              <w:rPr>
                <w:b/>
                <w:sz w:val="28"/>
                <w:szCs w:val="28"/>
              </w:rPr>
            </w:pPr>
            <w:r>
              <w:rPr>
                <w:b/>
                <w:sz w:val="28"/>
                <w:szCs w:val="28"/>
              </w:rPr>
              <w:t>FAMILY GROUP RANKING 201</w:t>
            </w:r>
            <w:r w:rsidR="00E57AF3">
              <w:rPr>
                <w:b/>
                <w:sz w:val="28"/>
                <w:szCs w:val="28"/>
              </w:rPr>
              <w:t>8</w:t>
            </w:r>
            <w:r>
              <w:rPr>
                <w:b/>
                <w:sz w:val="28"/>
                <w:szCs w:val="28"/>
              </w:rPr>
              <w:t>/1</w:t>
            </w:r>
            <w:r w:rsidR="00E57AF3">
              <w:rPr>
                <w:b/>
                <w:sz w:val="28"/>
                <w:szCs w:val="28"/>
              </w:rPr>
              <w:t>9</w:t>
            </w:r>
          </w:p>
        </w:tc>
        <w:tc>
          <w:tcPr>
            <w:tcW w:w="7659" w:type="dxa"/>
            <w:gridSpan w:val="3"/>
            <w:tcBorders>
              <w:top w:val="nil"/>
              <w:bottom w:val="nil"/>
            </w:tcBorders>
            <w:shd w:val="clear" w:color="auto" w:fill="D9D9D9" w:themeFill="background1" w:themeFillShade="D9"/>
            <w:vAlign w:val="center"/>
          </w:tcPr>
          <w:p w14:paraId="7ED84A8A" w14:textId="77777777" w:rsidR="00513443" w:rsidRDefault="00513443" w:rsidP="009A329B">
            <w:pPr>
              <w:jc w:val="center"/>
              <w:rPr>
                <w:sz w:val="28"/>
                <w:szCs w:val="28"/>
              </w:rPr>
            </w:pPr>
          </w:p>
        </w:tc>
      </w:tr>
      <w:tr w:rsidR="00513443" w:rsidRPr="00C03994" w14:paraId="6DFE6049" w14:textId="77777777" w:rsidTr="00B318EA">
        <w:trPr>
          <w:trHeight w:val="397"/>
          <w:jc w:val="center"/>
        </w:trPr>
        <w:tc>
          <w:tcPr>
            <w:tcW w:w="7650" w:type="dxa"/>
            <w:gridSpan w:val="2"/>
            <w:tcBorders>
              <w:top w:val="nil"/>
            </w:tcBorders>
            <w:shd w:val="clear" w:color="auto" w:fill="D9E2F3" w:themeFill="accent5" w:themeFillTint="33"/>
            <w:vAlign w:val="center"/>
          </w:tcPr>
          <w:p w14:paraId="73A958E2" w14:textId="54CF9F2F" w:rsidR="00513443" w:rsidRPr="004618FC" w:rsidRDefault="00513443" w:rsidP="00E57AF3">
            <w:pPr>
              <w:jc w:val="center"/>
              <w:rPr>
                <w:b/>
                <w:sz w:val="28"/>
                <w:szCs w:val="28"/>
              </w:rPr>
            </w:pPr>
            <w:r>
              <w:rPr>
                <w:b/>
                <w:sz w:val="28"/>
                <w:szCs w:val="28"/>
              </w:rPr>
              <w:t xml:space="preserve">RANK POSITION:  </w:t>
            </w:r>
            <w:r w:rsidR="005F1653">
              <w:rPr>
                <w:b/>
                <w:sz w:val="28"/>
                <w:szCs w:val="28"/>
              </w:rPr>
              <w:t>4</w:t>
            </w:r>
            <w:r>
              <w:rPr>
                <w:b/>
                <w:sz w:val="28"/>
                <w:szCs w:val="28"/>
              </w:rPr>
              <w:t xml:space="preserve">  RANK MOVEMENT: </w:t>
            </w:r>
            <w:r w:rsidR="005F1653">
              <w:rPr>
                <w:b/>
                <w:sz w:val="28"/>
                <w:szCs w:val="28"/>
              </w:rPr>
              <w:t>2</w:t>
            </w:r>
            <w:r w:rsidR="00EF7473">
              <w:rPr>
                <w:b/>
                <w:sz w:val="28"/>
                <w:szCs w:val="28"/>
              </w:rPr>
              <w:t xml:space="preserve"> </w:t>
            </w:r>
            <w:r w:rsidR="00EF7473" w:rsidRPr="00EC5E64">
              <w:rPr>
                <w:b/>
                <w:color w:val="00B050"/>
                <w:sz w:val="28"/>
                <w:szCs w:val="28"/>
              </w:rPr>
              <w:sym w:font="Wingdings" w:char="F0E9"/>
            </w:r>
          </w:p>
        </w:tc>
        <w:tc>
          <w:tcPr>
            <w:tcW w:w="7659" w:type="dxa"/>
            <w:gridSpan w:val="3"/>
            <w:tcBorders>
              <w:top w:val="nil"/>
            </w:tcBorders>
            <w:shd w:val="clear" w:color="auto" w:fill="D9D9D9" w:themeFill="background1" w:themeFillShade="D9"/>
            <w:vAlign w:val="center"/>
          </w:tcPr>
          <w:p w14:paraId="42C3D63B" w14:textId="77777777" w:rsidR="00513443" w:rsidRDefault="00513443" w:rsidP="009A329B">
            <w:pPr>
              <w:jc w:val="center"/>
              <w:rPr>
                <w:sz w:val="28"/>
                <w:szCs w:val="28"/>
              </w:rPr>
            </w:pPr>
          </w:p>
        </w:tc>
      </w:tr>
      <w:tr w:rsidR="00513443" w:rsidRPr="00C03994" w14:paraId="5A55D49E" w14:textId="77777777" w:rsidTr="00053B3F">
        <w:trPr>
          <w:trHeight w:val="397"/>
          <w:jc w:val="center"/>
        </w:trPr>
        <w:tc>
          <w:tcPr>
            <w:tcW w:w="15309" w:type="dxa"/>
            <w:gridSpan w:val="5"/>
            <w:vAlign w:val="center"/>
          </w:tcPr>
          <w:p w14:paraId="52C0BBF7" w14:textId="77777777" w:rsidR="00513443" w:rsidRPr="00513443" w:rsidRDefault="00513443" w:rsidP="000F4CDF">
            <w:pPr>
              <w:spacing w:after="120"/>
              <w:rPr>
                <w:sz w:val="6"/>
                <w:szCs w:val="6"/>
              </w:rPr>
            </w:pPr>
          </w:p>
          <w:p w14:paraId="46F7DEDA" w14:textId="77777777" w:rsidR="00513443" w:rsidRDefault="00513443" w:rsidP="000F4CDF">
            <w:pPr>
              <w:spacing w:after="120"/>
              <w:rPr>
                <w:b/>
                <w:sz w:val="28"/>
                <w:szCs w:val="28"/>
              </w:rPr>
            </w:pPr>
            <w:r w:rsidRPr="00C03994">
              <w:rPr>
                <w:b/>
                <w:sz w:val="28"/>
                <w:szCs w:val="28"/>
              </w:rPr>
              <w:t>TELLING OUR STORY:</w:t>
            </w:r>
          </w:p>
          <w:p w14:paraId="4C19F385" w14:textId="77777777" w:rsidR="00A83337" w:rsidRPr="00036039" w:rsidRDefault="00A83337" w:rsidP="000F4CDF">
            <w:pPr>
              <w:spacing w:after="120"/>
              <w:rPr>
                <w:rFonts w:cstheme="minorHAnsi"/>
                <w:sz w:val="24"/>
                <w:szCs w:val="24"/>
              </w:rPr>
            </w:pPr>
            <w:r w:rsidRPr="00036039">
              <w:rPr>
                <w:rFonts w:cstheme="minorHAnsi"/>
                <w:sz w:val="24"/>
                <w:szCs w:val="24"/>
              </w:rPr>
              <w:t xml:space="preserve">The indicator comes from the Scottish Household Survey, and is based on a 3 year rolling average of survey results. </w:t>
            </w:r>
          </w:p>
          <w:p w14:paraId="71DD81BD" w14:textId="77777777" w:rsidR="00A83337" w:rsidRPr="00036039" w:rsidRDefault="00A83337" w:rsidP="000F4CDF">
            <w:pPr>
              <w:spacing w:after="120"/>
              <w:rPr>
                <w:rFonts w:cstheme="minorHAnsi"/>
                <w:sz w:val="24"/>
                <w:szCs w:val="24"/>
              </w:rPr>
            </w:pPr>
            <w:r w:rsidRPr="00036039">
              <w:rPr>
                <w:rFonts w:cstheme="minorHAnsi"/>
                <w:sz w:val="24"/>
                <w:szCs w:val="24"/>
              </w:rPr>
              <w:t>The SHS does not provide any insight into specific causes of satisfaction/dissatisfaction.</w:t>
            </w:r>
          </w:p>
          <w:p w14:paraId="297B1827" w14:textId="0E57664B" w:rsidR="00C60AED" w:rsidRPr="00036039" w:rsidRDefault="00C60AED" w:rsidP="000F4CDF">
            <w:pPr>
              <w:spacing w:after="120"/>
              <w:rPr>
                <w:rFonts w:cstheme="minorHAnsi"/>
                <w:sz w:val="24"/>
                <w:szCs w:val="24"/>
              </w:rPr>
            </w:pPr>
            <w:r w:rsidRPr="00036039">
              <w:rPr>
                <w:rFonts w:cstheme="minorHAnsi"/>
                <w:sz w:val="24"/>
                <w:szCs w:val="24"/>
              </w:rPr>
              <w:t>The increase in satisfaction in Argyll and Bute should be seen within the wider context of declining satisfaction elsewhere. The increase in satisfaction locally has combined with decreasing levels of satisfaction elsewhere to result in a movement upward of 7 places across all Scottish local authorities.</w:t>
            </w:r>
          </w:p>
          <w:p w14:paraId="6613F219" w14:textId="263B931C" w:rsidR="00C60AED" w:rsidRPr="00036039" w:rsidRDefault="00C60AED" w:rsidP="000F4CDF">
            <w:pPr>
              <w:spacing w:after="120"/>
              <w:rPr>
                <w:rFonts w:cstheme="minorHAnsi"/>
                <w:sz w:val="24"/>
                <w:szCs w:val="24"/>
              </w:rPr>
            </w:pPr>
            <w:r w:rsidRPr="00036039">
              <w:rPr>
                <w:rFonts w:cstheme="minorHAnsi"/>
                <w:sz w:val="24"/>
                <w:szCs w:val="24"/>
              </w:rPr>
              <w:t>Last year's report noted that changes were made to opening hours, classes, pricing etc from April 2019, and a pricing review was scheduled for October 2019. It seems likely that these actions have had a positive impact on satisfaction levels.</w:t>
            </w:r>
          </w:p>
          <w:p w14:paraId="5FDDC830" w14:textId="77777777" w:rsidR="00513443" w:rsidRPr="00513443" w:rsidRDefault="00513443" w:rsidP="000F4CDF">
            <w:pPr>
              <w:spacing w:after="120"/>
              <w:rPr>
                <w:rFonts w:ascii="Arial" w:hAnsi="Arial" w:cs="Arial"/>
                <w:szCs w:val="28"/>
              </w:rPr>
            </w:pPr>
          </w:p>
        </w:tc>
      </w:tr>
      <w:tr w:rsidR="00513443" w:rsidRPr="00C03994" w14:paraId="295F5F1A" w14:textId="77777777" w:rsidTr="00053B3F">
        <w:trPr>
          <w:trHeight w:val="397"/>
          <w:jc w:val="center"/>
        </w:trPr>
        <w:tc>
          <w:tcPr>
            <w:tcW w:w="15309" w:type="dxa"/>
            <w:gridSpan w:val="5"/>
            <w:vAlign w:val="center"/>
          </w:tcPr>
          <w:p w14:paraId="29CAA2EB" w14:textId="77777777" w:rsidR="00513443" w:rsidRPr="00513443" w:rsidRDefault="00513443" w:rsidP="00513443">
            <w:pPr>
              <w:rPr>
                <w:sz w:val="6"/>
                <w:szCs w:val="6"/>
              </w:rPr>
            </w:pPr>
          </w:p>
          <w:p w14:paraId="5DD8CBF7" w14:textId="77777777" w:rsidR="00513443" w:rsidRPr="00C03994" w:rsidRDefault="00513443" w:rsidP="000F4CDF">
            <w:pPr>
              <w:spacing w:after="120"/>
              <w:rPr>
                <w:b/>
                <w:sz w:val="28"/>
                <w:szCs w:val="28"/>
              </w:rPr>
            </w:pPr>
            <w:r>
              <w:rPr>
                <w:b/>
                <w:sz w:val="28"/>
                <w:szCs w:val="28"/>
              </w:rPr>
              <w:t>LOOKING FORWARD - EXPECTED IMPACT ON INDICATOR</w:t>
            </w:r>
            <w:r w:rsidRPr="00C03994">
              <w:rPr>
                <w:b/>
                <w:sz w:val="28"/>
                <w:szCs w:val="28"/>
              </w:rPr>
              <w:t>:</w:t>
            </w:r>
          </w:p>
          <w:p w14:paraId="15639BDE" w14:textId="70C59405" w:rsidR="00543E81" w:rsidRPr="006805F1" w:rsidRDefault="00601DB2" w:rsidP="000F4CDF">
            <w:pPr>
              <w:spacing w:after="120"/>
              <w:rPr>
                <w:rFonts w:cstheme="minorHAnsi"/>
                <w:sz w:val="24"/>
                <w:szCs w:val="24"/>
              </w:rPr>
            </w:pPr>
            <w:r w:rsidRPr="006805F1">
              <w:rPr>
                <w:rFonts w:cstheme="minorHAnsi"/>
                <w:sz w:val="24"/>
                <w:szCs w:val="24"/>
              </w:rPr>
              <w:t xml:space="preserve">Phase 1 of our pricing review came into effect on April 2019 with a new membership pricing structure and this led to a consistent number of new members throughout the year.  Unfortunately </w:t>
            </w:r>
            <w:r w:rsidR="00A95B6B">
              <w:rPr>
                <w:rFonts w:cstheme="minorHAnsi"/>
                <w:sz w:val="24"/>
                <w:szCs w:val="24"/>
              </w:rPr>
              <w:t>COVID</w:t>
            </w:r>
            <w:r w:rsidRPr="006805F1">
              <w:rPr>
                <w:rFonts w:cstheme="minorHAnsi"/>
                <w:sz w:val="24"/>
                <w:szCs w:val="24"/>
              </w:rPr>
              <w:t xml:space="preserve"> led to all facilities being shut for 5 months and opening on a very restricted basis.  This will have a major effect on the business and work is being carried out on a new business model to attract customers back.</w:t>
            </w:r>
          </w:p>
        </w:tc>
      </w:tr>
    </w:tbl>
    <w:p w14:paraId="1A5FEFB1" w14:textId="5D4571D5" w:rsidR="004C5A6D" w:rsidRPr="002D0E83" w:rsidRDefault="004C5A6D" w:rsidP="009A329B">
      <w:pPr>
        <w:pStyle w:val="Heading2"/>
        <w:spacing w:before="0" w:line="240" w:lineRule="auto"/>
        <w:jc w:val="center"/>
        <w:rPr>
          <w:b/>
          <w:color w:val="auto"/>
          <w:sz w:val="52"/>
          <w:szCs w:val="52"/>
        </w:rPr>
      </w:pPr>
      <w:bookmarkStart w:id="36" w:name="_Toc56757714"/>
      <w:r w:rsidRPr="002D0E83">
        <w:rPr>
          <w:b/>
          <w:color w:val="auto"/>
          <w:sz w:val="52"/>
          <w:szCs w:val="52"/>
        </w:rPr>
        <w:lastRenderedPageBreak/>
        <w:t xml:space="preserve">ROADS AND </w:t>
      </w:r>
      <w:r w:rsidR="00473295">
        <w:rPr>
          <w:b/>
          <w:color w:val="auto"/>
          <w:sz w:val="52"/>
          <w:szCs w:val="52"/>
        </w:rPr>
        <w:t>INFRASTRUCTURE</w:t>
      </w:r>
      <w:bookmarkEnd w:id="36"/>
    </w:p>
    <w:tbl>
      <w:tblPr>
        <w:tblStyle w:val="TableGrid3"/>
        <w:tblW w:w="15309" w:type="dxa"/>
        <w:jc w:val="center"/>
        <w:tblLook w:val="04A0" w:firstRow="1" w:lastRow="0" w:firstColumn="1" w:lastColumn="0" w:noHBand="0" w:noVBand="1"/>
      </w:tblPr>
      <w:tblGrid>
        <w:gridCol w:w="5949"/>
        <w:gridCol w:w="1559"/>
        <w:gridCol w:w="6095"/>
        <w:gridCol w:w="1706"/>
      </w:tblGrid>
      <w:tr w:rsidR="00912400" w:rsidRPr="005D65E6" w14:paraId="1E5EA68F" w14:textId="77777777" w:rsidTr="00912400">
        <w:trPr>
          <w:trHeight w:val="794"/>
          <w:jc w:val="center"/>
        </w:trPr>
        <w:tc>
          <w:tcPr>
            <w:tcW w:w="15309" w:type="dxa"/>
            <w:gridSpan w:val="4"/>
            <w:vAlign w:val="center"/>
          </w:tcPr>
          <w:p w14:paraId="02E821A0" w14:textId="7D726B65" w:rsidR="00912400" w:rsidRPr="005D65E6" w:rsidRDefault="00912400" w:rsidP="00473295">
            <w:pPr>
              <w:rPr>
                <w:b/>
                <w:sz w:val="32"/>
              </w:rPr>
            </w:pPr>
            <w:r w:rsidRPr="005D65E6">
              <w:rPr>
                <w:b/>
                <w:sz w:val="32"/>
              </w:rPr>
              <w:t xml:space="preserve">SERVICE: ROADS AND </w:t>
            </w:r>
            <w:r w:rsidR="00473295">
              <w:rPr>
                <w:b/>
                <w:sz w:val="32"/>
              </w:rPr>
              <w:t>INFRASTRUCTURE</w:t>
            </w:r>
          </w:p>
        </w:tc>
      </w:tr>
      <w:tr w:rsidR="004C5A6D" w:rsidRPr="00FC5F08" w14:paraId="1A27F2B3" w14:textId="77777777" w:rsidTr="003F7E3E">
        <w:trPr>
          <w:trHeight w:val="567"/>
          <w:jc w:val="center"/>
        </w:trPr>
        <w:tc>
          <w:tcPr>
            <w:tcW w:w="15309" w:type="dxa"/>
            <w:gridSpan w:val="4"/>
            <w:vAlign w:val="center"/>
          </w:tcPr>
          <w:p w14:paraId="30286E9B" w14:textId="77777777" w:rsidR="004C5A6D" w:rsidRPr="00FC5F08" w:rsidRDefault="00CD0C4B" w:rsidP="009A329B">
            <w:pPr>
              <w:pStyle w:val="Heading1"/>
              <w:spacing w:before="0"/>
              <w:outlineLvl w:val="0"/>
              <w:rPr>
                <w:b/>
                <w:color w:val="auto"/>
              </w:rPr>
            </w:pPr>
            <w:bookmarkStart w:id="37" w:name="_Toc56757715"/>
            <w:r w:rsidRPr="00FC5F08">
              <w:rPr>
                <w:b/>
                <w:color w:val="auto"/>
              </w:rPr>
              <w:t>INDICATOR REF: C&amp;L5b - Percentage</w:t>
            </w:r>
            <w:r w:rsidR="004C5A6D" w:rsidRPr="00FC5F08">
              <w:rPr>
                <w:b/>
                <w:color w:val="auto"/>
              </w:rPr>
              <w:t xml:space="preserve"> of adults satisfied with parks and open spaces</w:t>
            </w:r>
            <w:bookmarkEnd w:id="37"/>
            <w:r w:rsidR="00CA7DF1" w:rsidRPr="00FC5F08">
              <w:rPr>
                <w:b/>
                <w:color w:val="auto"/>
              </w:rPr>
              <w:t xml:space="preserve"> </w:t>
            </w:r>
          </w:p>
        </w:tc>
      </w:tr>
      <w:tr w:rsidR="008F2E9A" w:rsidRPr="004C5A6D" w14:paraId="6B051AEE" w14:textId="77777777" w:rsidTr="003F7E3E">
        <w:trPr>
          <w:trHeight w:val="454"/>
          <w:jc w:val="center"/>
        </w:trPr>
        <w:tc>
          <w:tcPr>
            <w:tcW w:w="15309" w:type="dxa"/>
            <w:gridSpan w:val="4"/>
            <w:vAlign w:val="center"/>
          </w:tcPr>
          <w:p w14:paraId="09966DF6" w14:textId="6864E806" w:rsidR="008F2E9A" w:rsidRPr="0064665D" w:rsidRDefault="008F2E9A" w:rsidP="00E57AF3">
            <w:pPr>
              <w:jc w:val="center"/>
              <w:rPr>
                <w:b/>
                <w:color w:val="0070C0"/>
                <w:sz w:val="28"/>
                <w:szCs w:val="28"/>
              </w:rPr>
            </w:pPr>
            <w:r w:rsidRPr="00C577BD">
              <w:rPr>
                <w:b/>
                <w:color w:val="0070C0"/>
                <w:sz w:val="28"/>
                <w:szCs w:val="28"/>
              </w:rPr>
              <w:t>Performance Range:</w:t>
            </w:r>
            <w:r w:rsidR="0064665D" w:rsidRPr="004C7782">
              <w:rPr>
                <w:b/>
                <w:color w:val="0070C0"/>
                <w:sz w:val="28"/>
                <w:szCs w:val="28"/>
              </w:rPr>
              <w:t xml:space="preserve"> </w:t>
            </w:r>
            <w:r w:rsidR="00BB1909">
              <w:rPr>
                <w:b/>
                <w:color w:val="0070C0"/>
                <w:sz w:val="28"/>
                <w:szCs w:val="28"/>
              </w:rPr>
              <w:t>54.47</w:t>
            </w:r>
            <w:r w:rsidR="0064665D">
              <w:rPr>
                <w:b/>
                <w:color w:val="0070C0"/>
                <w:sz w:val="28"/>
                <w:szCs w:val="28"/>
              </w:rPr>
              <w:t xml:space="preserve">% to </w:t>
            </w:r>
            <w:r w:rsidR="00BB1909">
              <w:rPr>
                <w:b/>
                <w:color w:val="0070C0"/>
                <w:sz w:val="28"/>
                <w:szCs w:val="28"/>
              </w:rPr>
              <w:t>91.67</w:t>
            </w:r>
            <w:r w:rsidR="0064665D">
              <w:rPr>
                <w:b/>
                <w:color w:val="0070C0"/>
                <w:sz w:val="28"/>
                <w:szCs w:val="28"/>
              </w:rPr>
              <w:t>%</w:t>
            </w:r>
            <w:r w:rsidR="005E2139">
              <w:rPr>
                <w:b/>
                <w:color w:val="0070C0"/>
                <w:sz w:val="28"/>
                <w:szCs w:val="28"/>
              </w:rPr>
              <w:t xml:space="preserve"> </w:t>
            </w:r>
            <w:r w:rsidR="005E2139" w:rsidRPr="005E2139">
              <w:rPr>
                <w:b/>
                <w:color w:val="0070C0"/>
                <w:sz w:val="28"/>
                <w:szCs w:val="28"/>
              </w:rPr>
              <w:t>(Highest is best)</w:t>
            </w:r>
          </w:p>
        </w:tc>
      </w:tr>
      <w:tr w:rsidR="004C5A6D" w:rsidRPr="004C5A6D" w14:paraId="02B05458" w14:textId="77777777" w:rsidTr="00E83409">
        <w:trPr>
          <w:trHeight w:val="397"/>
          <w:jc w:val="center"/>
        </w:trPr>
        <w:tc>
          <w:tcPr>
            <w:tcW w:w="7508" w:type="dxa"/>
            <w:gridSpan w:val="2"/>
            <w:shd w:val="clear" w:color="auto" w:fill="D9E2F3" w:themeFill="accent5" w:themeFillTint="33"/>
            <w:vAlign w:val="center"/>
          </w:tcPr>
          <w:p w14:paraId="3DE70EE0" w14:textId="77777777" w:rsidR="004C5A6D" w:rsidRPr="004C5A6D" w:rsidRDefault="004C5A6D" w:rsidP="009A329B">
            <w:pPr>
              <w:jc w:val="center"/>
              <w:rPr>
                <w:b/>
                <w:sz w:val="28"/>
                <w:szCs w:val="28"/>
              </w:rPr>
            </w:pPr>
            <w:r w:rsidRPr="004C5A6D">
              <w:rPr>
                <w:b/>
                <w:sz w:val="28"/>
                <w:szCs w:val="28"/>
              </w:rPr>
              <w:t>ARGYLL AND BUTE</w:t>
            </w:r>
          </w:p>
        </w:tc>
        <w:tc>
          <w:tcPr>
            <w:tcW w:w="7801" w:type="dxa"/>
            <w:gridSpan w:val="2"/>
            <w:shd w:val="clear" w:color="auto" w:fill="D9E2F3" w:themeFill="accent5" w:themeFillTint="33"/>
            <w:vAlign w:val="center"/>
          </w:tcPr>
          <w:p w14:paraId="64328F4C" w14:textId="77777777" w:rsidR="004C5A6D" w:rsidRPr="004C5A6D" w:rsidRDefault="004C5A6D" w:rsidP="009A329B">
            <w:pPr>
              <w:jc w:val="center"/>
              <w:rPr>
                <w:b/>
                <w:sz w:val="28"/>
                <w:szCs w:val="28"/>
              </w:rPr>
            </w:pPr>
            <w:r w:rsidRPr="004C5A6D">
              <w:rPr>
                <w:b/>
                <w:sz w:val="28"/>
                <w:szCs w:val="28"/>
              </w:rPr>
              <w:t>SCOTLAND</w:t>
            </w:r>
          </w:p>
        </w:tc>
      </w:tr>
      <w:tr w:rsidR="004C5A6D" w:rsidRPr="004C5A6D" w14:paraId="080B2DFA" w14:textId="77777777" w:rsidTr="003F7E3E">
        <w:trPr>
          <w:trHeight w:val="397"/>
          <w:jc w:val="center"/>
        </w:trPr>
        <w:tc>
          <w:tcPr>
            <w:tcW w:w="7508" w:type="dxa"/>
            <w:gridSpan w:val="2"/>
            <w:vAlign w:val="center"/>
          </w:tcPr>
          <w:p w14:paraId="41A05F81" w14:textId="02262804" w:rsidR="004C5A6D" w:rsidRPr="004618FC" w:rsidRDefault="00BB1909" w:rsidP="009A329B">
            <w:pPr>
              <w:jc w:val="center"/>
              <w:rPr>
                <w:b/>
                <w:sz w:val="28"/>
                <w:szCs w:val="28"/>
              </w:rPr>
            </w:pPr>
            <w:r>
              <w:rPr>
                <w:b/>
                <w:sz w:val="28"/>
                <w:szCs w:val="28"/>
              </w:rPr>
              <w:t>80.03</w:t>
            </w:r>
            <w:r w:rsidR="00E57AF3">
              <w:rPr>
                <w:b/>
                <w:sz w:val="28"/>
                <w:szCs w:val="28"/>
              </w:rPr>
              <w:t>%</w:t>
            </w:r>
          </w:p>
        </w:tc>
        <w:tc>
          <w:tcPr>
            <w:tcW w:w="7801" w:type="dxa"/>
            <w:gridSpan w:val="2"/>
            <w:vAlign w:val="center"/>
          </w:tcPr>
          <w:p w14:paraId="407C9FCC" w14:textId="741531E6" w:rsidR="004C5A6D" w:rsidRPr="004C5A6D" w:rsidRDefault="00BB1909" w:rsidP="009A329B">
            <w:pPr>
              <w:jc w:val="center"/>
              <w:rPr>
                <w:b/>
                <w:sz w:val="28"/>
                <w:szCs w:val="28"/>
              </w:rPr>
            </w:pPr>
            <w:r>
              <w:rPr>
                <w:b/>
                <w:sz w:val="28"/>
                <w:szCs w:val="28"/>
              </w:rPr>
              <w:t>84.83</w:t>
            </w:r>
            <w:r w:rsidR="00E57AF3">
              <w:rPr>
                <w:b/>
                <w:sz w:val="28"/>
                <w:szCs w:val="28"/>
              </w:rPr>
              <w:t>%</w:t>
            </w:r>
          </w:p>
        </w:tc>
      </w:tr>
      <w:tr w:rsidR="003F7E3E" w:rsidRPr="004C5A6D" w14:paraId="75297A2F" w14:textId="77777777" w:rsidTr="001D1CB4">
        <w:trPr>
          <w:trHeight w:val="397"/>
          <w:jc w:val="center"/>
        </w:trPr>
        <w:tc>
          <w:tcPr>
            <w:tcW w:w="5949" w:type="dxa"/>
            <w:vAlign w:val="center"/>
          </w:tcPr>
          <w:p w14:paraId="2FEF93A2" w14:textId="71616037" w:rsidR="003F7E3E" w:rsidRPr="004618FC" w:rsidRDefault="001D1CB4" w:rsidP="00B2688E">
            <w:pPr>
              <w:jc w:val="center"/>
              <w:rPr>
                <w:b/>
                <w:sz w:val="28"/>
                <w:szCs w:val="28"/>
              </w:rPr>
            </w:pPr>
            <w:r w:rsidRPr="00721B18">
              <w:rPr>
                <w:b/>
                <w:sz w:val="28"/>
                <w:szCs w:val="28"/>
              </w:rPr>
              <w:t>CHANGE 201</w:t>
            </w:r>
            <w:r w:rsidR="00B2688E">
              <w:rPr>
                <w:b/>
                <w:sz w:val="28"/>
                <w:szCs w:val="28"/>
              </w:rPr>
              <w:t>5</w:t>
            </w:r>
            <w:r w:rsidRPr="00721B18">
              <w:rPr>
                <w:b/>
                <w:sz w:val="28"/>
                <w:szCs w:val="28"/>
              </w:rPr>
              <w:t>/1</w:t>
            </w:r>
            <w:r w:rsidR="00E57AF3">
              <w:rPr>
                <w:b/>
                <w:sz w:val="28"/>
                <w:szCs w:val="28"/>
              </w:rPr>
              <w:t>8</w:t>
            </w:r>
            <w:r w:rsidRPr="00721B18">
              <w:rPr>
                <w:b/>
                <w:sz w:val="28"/>
                <w:szCs w:val="28"/>
              </w:rPr>
              <w:t xml:space="preserve"> TO </w:t>
            </w:r>
            <w:r>
              <w:rPr>
                <w:b/>
                <w:sz w:val="28"/>
                <w:szCs w:val="28"/>
              </w:rPr>
              <w:t>201</w:t>
            </w:r>
            <w:r w:rsidR="00B2688E">
              <w:rPr>
                <w:b/>
                <w:sz w:val="28"/>
                <w:szCs w:val="28"/>
              </w:rPr>
              <w:t>6</w:t>
            </w:r>
            <w:r>
              <w:rPr>
                <w:b/>
                <w:sz w:val="28"/>
                <w:szCs w:val="28"/>
              </w:rPr>
              <w:t>/1</w:t>
            </w:r>
            <w:r w:rsidR="00E57AF3">
              <w:rPr>
                <w:b/>
                <w:sz w:val="28"/>
                <w:szCs w:val="28"/>
              </w:rPr>
              <w:t>9</w:t>
            </w:r>
          </w:p>
        </w:tc>
        <w:tc>
          <w:tcPr>
            <w:tcW w:w="1559" w:type="dxa"/>
            <w:vAlign w:val="center"/>
          </w:tcPr>
          <w:p w14:paraId="14FF7017" w14:textId="4103F895" w:rsidR="003F7E3E" w:rsidRPr="004618FC" w:rsidRDefault="00BB1909" w:rsidP="009A329B">
            <w:pPr>
              <w:jc w:val="center"/>
              <w:rPr>
                <w:b/>
                <w:sz w:val="28"/>
                <w:szCs w:val="28"/>
              </w:rPr>
            </w:pPr>
            <w:r>
              <w:rPr>
                <w:b/>
                <w:sz w:val="28"/>
                <w:szCs w:val="28"/>
              </w:rPr>
              <w:t>0.03</w:t>
            </w:r>
            <w:r w:rsidR="00EF7473">
              <w:rPr>
                <w:b/>
                <w:sz w:val="28"/>
                <w:szCs w:val="28"/>
              </w:rPr>
              <w:t xml:space="preserve"> </w:t>
            </w:r>
            <w:r w:rsidR="00EF7473" w:rsidRPr="00EC5E64">
              <w:rPr>
                <w:b/>
                <w:color w:val="00B050"/>
                <w:sz w:val="28"/>
                <w:szCs w:val="28"/>
              </w:rPr>
              <w:sym w:font="Wingdings" w:char="F0E9"/>
            </w:r>
          </w:p>
        </w:tc>
        <w:tc>
          <w:tcPr>
            <w:tcW w:w="6095" w:type="dxa"/>
            <w:vAlign w:val="center"/>
          </w:tcPr>
          <w:p w14:paraId="267BEBB6" w14:textId="4D3070FC" w:rsidR="003F7E3E" w:rsidRDefault="001D1CB4" w:rsidP="00B2688E">
            <w:pPr>
              <w:jc w:val="center"/>
              <w:rPr>
                <w:b/>
                <w:sz w:val="28"/>
                <w:szCs w:val="28"/>
              </w:rPr>
            </w:pPr>
            <w:r>
              <w:rPr>
                <w:sz w:val="28"/>
                <w:szCs w:val="28"/>
              </w:rPr>
              <w:t>CHANGE 201</w:t>
            </w:r>
            <w:r w:rsidR="00B2688E">
              <w:rPr>
                <w:sz w:val="28"/>
                <w:szCs w:val="28"/>
              </w:rPr>
              <w:t>5</w:t>
            </w:r>
            <w:r>
              <w:rPr>
                <w:sz w:val="28"/>
                <w:szCs w:val="28"/>
              </w:rPr>
              <w:t>/1</w:t>
            </w:r>
            <w:r w:rsidR="00E57AF3">
              <w:rPr>
                <w:sz w:val="28"/>
                <w:szCs w:val="28"/>
              </w:rPr>
              <w:t>8</w:t>
            </w:r>
            <w:r>
              <w:rPr>
                <w:sz w:val="28"/>
                <w:szCs w:val="28"/>
              </w:rPr>
              <w:t xml:space="preserve"> TO 201</w:t>
            </w:r>
            <w:r w:rsidR="00B2688E">
              <w:rPr>
                <w:sz w:val="28"/>
                <w:szCs w:val="28"/>
              </w:rPr>
              <w:t>6</w:t>
            </w:r>
            <w:r>
              <w:rPr>
                <w:sz w:val="28"/>
                <w:szCs w:val="28"/>
              </w:rPr>
              <w:t>/1</w:t>
            </w:r>
            <w:r w:rsidR="00E57AF3">
              <w:rPr>
                <w:sz w:val="28"/>
                <w:szCs w:val="28"/>
              </w:rPr>
              <w:t>9</w:t>
            </w:r>
          </w:p>
        </w:tc>
        <w:tc>
          <w:tcPr>
            <w:tcW w:w="1706" w:type="dxa"/>
            <w:vAlign w:val="center"/>
          </w:tcPr>
          <w:p w14:paraId="7B0E7849" w14:textId="5FEA76F7" w:rsidR="003F7E3E" w:rsidRPr="00EF7473" w:rsidRDefault="00EF7473" w:rsidP="009A329B">
            <w:pPr>
              <w:jc w:val="center"/>
              <w:rPr>
                <w:b/>
                <w:sz w:val="28"/>
                <w:szCs w:val="28"/>
              </w:rPr>
            </w:pPr>
            <w:r>
              <w:rPr>
                <w:sz w:val="28"/>
                <w:szCs w:val="28"/>
              </w:rPr>
              <w:t xml:space="preserve">-0.83 </w:t>
            </w:r>
            <w:r w:rsidRPr="00C14931">
              <w:rPr>
                <w:b/>
                <w:color w:val="FF0000"/>
                <w:sz w:val="28"/>
                <w:szCs w:val="28"/>
              </w:rPr>
              <w:sym w:font="Wingdings" w:char="F0EA"/>
            </w:r>
          </w:p>
        </w:tc>
      </w:tr>
      <w:tr w:rsidR="001D1CB4" w:rsidRPr="004C5A6D" w14:paraId="6863D7FF" w14:textId="77777777" w:rsidTr="001D1CB4">
        <w:trPr>
          <w:trHeight w:val="397"/>
          <w:jc w:val="center"/>
        </w:trPr>
        <w:tc>
          <w:tcPr>
            <w:tcW w:w="5949" w:type="dxa"/>
            <w:vAlign w:val="center"/>
          </w:tcPr>
          <w:p w14:paraId="53414C0B" w14:textId="1F90A2A3" w:rsidR="001D1CB4" w:rsidRPr="00721B18" w:rsidRDefault="001D1CB4" w:rsidP="00B2688E">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w:t>
            </w:r>
            <w:r w:rsidR="00B2688E">
              <w:rPr>
                <w:b/>
                <w:sz w:val="28"/>
                <w:szCs w:val="28"/>
              </w:rPr>
              <w:t>6</w:t>
            </w:r>
            <w:r>
              <w:rPr>
                <w:b/>
                <w:sz w:val="28"/>
                <w:szCs w:val="28"/>
              </w:rPr>
              <w:t>/1</w:t>
            </w:r>
            <w:r w:rsidR="00E57AF3">
              <w:rPr>
                <w:b/>
                <w:sz w:val="28"/>
                <w:szCs w:val="28"/>
              </w:rPr>
              <w:t>9</w:t>
            </w:r>
          </w:p>
        </w:tc>
        <w:tc>
          <w:tcPr>
            <w:tcW w:w="1559" w:type="dxa"/>
            <w:vAlign w:val="center"/>
          </w:tcPr>
          <w:p w14:paraId="0B0F1C4A" w14:textId="2F08AD5B" w:rsidR="001D1CB4" w:rsidRPr="004618FC" w:rsidRDefault="00BB1909" w:rsidP="009A329B">
            <w:pPr>
              <w:jc w:val="center"/>
              <w:rPr>
                <w:b/>
                <w:sz w:val="28"/>
                <w:szCs w:val="28"/>
              </w:rPr>
            </w:pPr>
            <w:r>
              <w:rPr>
                <w:b/>
                <w:sz w:val="28"/>
                <w:szCs w:val="28"/>
              </w:rPr>
              <w:t>6.93</w:t>
            </w:r>
            <w:r w:rsidR="00EF7473">
              <w:rPr>
                <w:b/>
                <w:sz w:val="28"/>
                <w:szCs w:val="28"/>
              </w:rPr>
              <w:t xml:space="preserve"> </w:t>
            </w:r>
            <w:r w:rsidR="00EF7473" w:rsidRPr="00EC5E64">
              <w:rPr>
                <w:b/>
                <w:color w:val="00B050"/>
                <w:sz w:val="28"/>
                <w:szCs w:val="28"/>
              </w:rPr>
              <w:sym w:font="Wingdings" w:char="F0E9"/>
            </w:r>
          </w:p>
        </w:tc>
        <w:tc>
          <w:tcPr>
            <w:tcW w:w="6095" w:type="dxa"/>
            <w:tcBorders>
              <w:bottom w:val="single" w:sz="4" w:space="0" w:color="auto"/>
            </w:tcBorders>
            <w:vAlign w:val="center"/>
          </w:tcPr>
          <w:p w14:paraId="5DBCF1A3" w14:textId="6D736169" w:rsidR="001D1CB4" w:rsidRDefault="001D1CB4" w:rsidP="00B2688E">
            <w:pPr>
              <w:jc w:val="center"/>
              <w:rPr>
                <w:sz w:val="28"/>
                <w:szCs w:val="28"/>
              </w:rPr>
            </w:pPr>
            <w:r>
              <w:rPr>
                <w:sz w:val="28"/>
                <w:szCs w:val="28"/>
              </w:rPr>
              <w:t xml:space="preserve">CHANGE </w:t>
            </w:r>
            <w:r w:rsidRPr="00903E39">
              <w:rPr>
                <w:sz w:val="28"/>
                <w:szCs w:val="28"/>
              </w:rPr>
              <w:t xml:space="preserve">BASE YEAR </w:t>
            </w:r>
            <w:r>
              <w:rPr>
                <w:sz w:val="28"/>
                <w:szCs w:val="28"/>
              </w:rPr>
              <w:t>TO 201</w:t>
            </w:r>
            <w:r w:rsidR="00B2688E">
              <w:rPr>
                <w:sz w:val="28"/>
                <w:szCs w:val="28"/>
              </w:rPr>
              <w:t>6</w:t>
            </w:r>
            <w:r>
              <w:rPr>
                <w:sz w:val="28"/>
                <w:szCs w:val="28"/>
              </w:rPr>
              <w:t>/1</w:t>
            </w:r>
            <w:r w:rsidR="00E57AF3">
              <w:rPr>
                <w:sz w:val="28"/>
                <w:szCs w:val="28"/>
              </w:rPr>
              <w:t>9</w:t>
            </w:r>
          </w:p>
        </w:tc>
        <w:tc>
          <w:tcPr>
            <w:tcW w:w="1706" w:type="dxa"/>
            <w:tcBorders>
              <w:bottom w:val="single" w:sz="4" w:space="0" w:color="auto"/>
            </w:tcBorders>
            <w:vAlign w:val="center"/>
          </w:tcPr>
          <w:p w14:paraId="348EE13E" w14:textId="57258BFC" w:rsidR="001D1CB4" w:rsidRPr="00EF7473" w:rsidRDefault="00EF7473" w:rsidP="009A329B">
            <w:pPr>
              <w:jc w:val="center"/>
              <w:rPr>
                <w:sz w:val="28"/>
                <w:szCs w:val="28"/>
              </w:rPr>
            </w:pPr>
            <w:r>
              <w:rPr>
                <w:sz w:val="28"/>
                <w:szCs w:val="28"/>
              </w:rPr>
              <w:t xml:space="preserve">-0.2 </w:t>
            </w:r>
            <w:r w:rsidRPr="00C14931">
              <w:rPr>
                <w:b/>
                <w:color w:val="FF0000"/>
                <w:sz w:val="28"/>
                <w:szCs w:val="28"/>
              </w:rPr>
              <w:sym w:font="Wingdings" w:char="F0EA"/>
            </w:r>
          </w:p>
        </w:tc>
      </w:tr>
      <w:tr w:rsidR="001D1CB4" w:rsidRPr="004C5A6D" w14:paraId="67952112" w14:textId="77777777" w:rsidTr="00B318EA">
        <w:trPr>
          <w:trHeight w:val="397"/>
          <w:jc w:val="center"/>
        </w:trPr>
        <w:tc>
          <w:tcPr>
            <w:tcW w:w="7508" w:type="dxa"/>
            <w:gridSpan w:val="2"/>
            <w:tcBorders>
              <w:bottom w:val="single" w:sz="4" w:space="0" w:color="auto"/>
            </w:tcBorders>
            <w:vAlign w:val="center"/>
          </w:tcPr>
          <w:p w14:paraId="59622E9F" w14:textId="4B156659" w:rsidR="001D1CB4" w:rsidRPr="004618FC" w:rsidRDefault="001D1CB4" w:rsidP="00E57AF3">
            <w:pPr>
              <w:jc w:val="center"/>
              <w:rPr>
                <w:b/>
                <w:sz w:val="28"/>
                <w:szCs w:val="28"/>
              </w:rPr>
            </w:pPr>
            <w:r w:rsidRPr="004618FC">
              <w:rPr>
                <w:b/>
                <w:sz w:val="28"/>
                <w:szCs w:val="28"/>
              </w:rPr>
              <w:t>RANK POSITION:</w:t>
            </w:r>
            <w:r w:rsidR="00513443" w:rsidRPr="00BB1909">
              <w:rPr>
                <w:b/>
                <w:sz w:val="28"/>
                <w:szCs w:val="28"/>
              </w:rPr>
              <w:t xml:space="preserve">  </w:t>
            </w:r>
            <w:r w:rsidR="00BB1909">
              <w:rPr>
                <w:b/>
                <w:sz w:val="28"/>
                <w:szCs w:val="28"/>
              </w:rPr>
              <w:t>25</w:t>
            </w:r>
            <w:r w:rsidR="00513443" w:rsidRPr="00BB1909">
              <w:rPr>
                <w:b/>
                <w:sz w:val="28"/>
                <w:szCs w:val="28"/>
              </w:rPr>
              <w:t xml:space="preserve">  </w:t>
            </w:r>
            <w:r w:rsidRPr="004618FC">
              <w:rPr>
                <w:b/>
                <w:sz w:val="28"/>
                <w:szCs w:val="28"/>
              </w:rPr>
              <w:t xml:space="preserve">RANK MOVEMENT: </w:t>
            </w:r>
            <w:r w:rsidR="00BB1909">
              <w:rPr>
                <w:b/>
                <w:sz w:val="28"/>
                <w:szCs w:val="28"/>
              </w:rPr>
              <w:t>1</w:t>
            </w:r>
            <w:r w:rsidR="00EF7473">
              <w:rPr>
                <w:b/>
                <w:sz w:val="28"/>
                <w:szCs w:val="28"/>
              </w:rPr>
              <w:t xml:space="preserve"> </w:t>
            </w:r>
            <w:r w:rsidR="00EF7473" w:rsidRPr="00EC5E64">
              <w:rPr>
                <w:b/>
                <w:color w:val="00B050"/>
                <w:sz w:val="28"/>
                <w:szCs w:val="28"/>
              </w:rPr>
              <w:sym w:font="Wingdings" w:char="F0E9"/>
            </w:r>
          </w:p>
        </w:tc>
        <w:tc>
          <w:tcPr>
            <w:tcW w:w="7801" w:type="dxa"/>
            <w:gridSpan w:val="2"/>
            <w:tcBorders>
              <w:bottom w:val="nil"/>
            </w:tcBorders>
            <w:shd w:val="clear" w:color="auto" w:fill="D9D9D9" w:themeFill="background1" w:themeFillShade="D9"/>
            <w:vAlign w:val="center"/>
          </w:tcPr>
          <w:p w14:paraId="26A37390" w14:textId="77777777" w:rsidR="001D1CB4" w:rsidRDefault="001D1CB4" w:rsidP="009A329B">
            <w:pPr>
              <w:jc w:val="center"/>
              <w:rPr>
                <w:sz w:val="28"/>
                <w:szCs w:val="28"/>
              </w:rPr>
            </w:pPr>
          </w:p>
        </w:tc>
      </w:tr>
      <w:tr w:rsidR="001D1CB4" w:rsidRPr="004C5A6D" w14:paraId="1CDEC706" w14:textId="77777777" w:rsidTr="00B318EA">
        <w:trPr>
          <w:trHeight w:val="397"/>
          <w:jc w:val="center"/>
        </w:trPr>
        <w:tc>
          <w:tcPr>
            <w:tcW w:w="7508" w:type="dxa"/>
            <w:gridSpan w:val="2"/>
            <w:tcBorders>
              <w:bottom w:val="nil"/>
            </w:tcBorders>
            <w:shd w:val="clear" w:color="auto" w:fill="D9E2F3" w:themeFill="accent5" w:themeFillTint="33"/>
            <w:vAlign w:val="center"/>
          </w:tcPr>
          <w:p w14:paraId="5F228D7F" w14:textId="6BF9E287" w:rsidR="001D1CB4" w:rsidRPr="004618FC" w:rsidRDefault="001D1CB4" w:rsidP="00B2688E">
            <w:pPr>
              <w:jc w:val="center"/>
              <w:rPr>
                <w:b/>
                <w:sz w:val="28"/>
                <w:szCs w:val="28"/>
              </w:rPr>
            </w:pPr>
            <w:r>
              <w:rPr>
                <w:b/>
                <w:sz w:val="28"/>
                <w:szCs w:val="28"/>
              </w:rPr>
              <w:t>FAMILY GROUP RANKING 201</w:t>
            </w:r>
            <w:r w:rsidR="00B2688E">
              <w:rPr>
                <w:b/>
                <w:sz w:val="28"/>
                <w:szCs w:val="28"/>
              </w:rPr>
              <w:t>6</w:t>
            </w:r>
            <w:r>
              <w:rPr>
                <w:b/>
                <w:sz w:val="28"/>
                <w:szCs w:val="28"/>
              </w:rPr>
              <w:t>/1</w:t>
            </w:r>
            <w:r w:rsidR="00E57AF3">
              <w:rPr>
                <w:b/>
                <w:sz w:val="28"/>
                <w:szCs w:val="28"/>
              </w:rPr>
              <w:t>9</w:t>
            </w:r>
          </w:p>
        </w:tc>
        <w:tc>
          <w:tcPr>
            <w:tcW w:w="7801" w:type="dxa"/>
            <w:gridSpan w:val="2"/>
            <w:tcBorders>
              <w:top w:val="nil"/>
              <w:bottom w:val="nil"/>
            </w:tcBorders>
            <w:shd w:val="clear" w:color="auto" w:fill="D9D9D9" w:themeFill="background1" w:themeFillShade="D9"/>
            <w:vAlign w:val="center"/>
          </w:tcPr>
          <w:p w14:paraId="4B9B38CC" w14:textId="77777777" w:rsidR="001D1CB4" w:rsidRDefault="001D1CB4" w:rsidP="009A329B">
            <w:pPr>
              <w:jc w:val="center"/>
              <w:rPr>
                <w:sz w:val="28"/>
                <w:szCs w:val="28"/>
              </w:rPr>
            </w:pPr>
          </w:p>
        </w:tc>
      </w:tr>
      <w:tr w:rsidR="001D1CB4" w:rsidRPr="004C5A6D" w14:paraId="5C1EBFA9" w14:textId="77777777" w:rsidTr="00B318EA">
        <w:trPr>
          <w:trHeight w:val="397"/>
          <w:jc w:val="center"/>
        </w:trPr>
        <w:tc>
          <w:tcPr>
            <w:tcW w:w="7508" w:type="dxa"/>
            <w:gridSpan w:val="2"/>
            <w:tcBorders>
              <w:top w:val="nil"/>
            </w:tcBorders>
            <w:shd w:val="clear" w:color="auto" w:fill="D9E2F3" w:themeFill="accent5" w:themeFillTint="33"/>
            <w:vAlign w:val="center"/>
          </w:tcPr>
          <w:p w14:paraId="2985EDA6" w14:textId="2F78FF2D" w:rsidR="001D1CB4" w:rsidRPr="004618FC" w:rsidRDefault="001D1CB4" w:rsidP="00E57AF3">
            <w:pPr>
              <w:jc w:val="center"/>
              <w:rPr>
                <w:b/>
                <w:sz w:val="28"/>
                <w:szCs w:val="28"/>
              </w:rPr>
            </w:pPr>
            <w:r>
              <w:rPr>
                <w:b/>
                <w:sz w:val="28"/>
                <w:szCs w:val="28"/>
              </w:rPr>
              <w:t>RANK POSITION:</w:t>
            </w:r>
            <w:r w:rsidR="00FD1CF1">
              <w:rPr>
                <w:b/>
                <w:sz w:val="28"/>
                <w:szCs w:val="28"/>
              </w:rPr>
              <w:t xml:space="preserve">  </w:t>
            </w:r>
            <w:r w:rsidR="00BB1909">
              <w:rPr>
                <w:b/>
                <w:sz w:val="28"/>
                <w:szCs w:val="28"/>
              </w:rPr>
              <w:t>3</w:t>
            </w:r>
            <w:r w:rsidR="00FD1CF1">
              <w:rPr>
                <w:b/>
                <w:sz w:val="28"/>
                <w:szCs w:val="28"/>
              </w:rPr>
              <w:t xml:space="preserve">  </w:t>
            </w:r>
            <w:r>
              <w:rPr>
                <w:b/>
                <w:sz w:val="28"/>
                <w:szCs w:val="28"/>
              </w:rPr>
              <w:t xml:space="preserve">RANK MOVEMENT: </w:t>
            </w:r>
            <w:r w:rsidR="00BB1909">
              <w:rPr>
                <w:b/>
                <w:sz w:val="28"/>
                <w:szCs w:val="28"/>
              </w:rPr>
              <w:t>2</w:t>
            </w:r>
            <w:r w:rsidR="00EF7473">
              <w:rPr>
                <w:b/>
                <w:sz w:val="28"/>
                <w:szCs w:val="28"/>
              </w:rPr>
              <w:t xml:space="preserve"> </w:t>
            </w:r>
            <w:r w:rsidR="00EF7473" w:rsidRPr="00EC5E64">
              <w:rPr>
                <w:b/>
                <w:color w:val="00B050"/>
                <w:sz w:val="28"/>
                <w:szCs w:val="28"/>
              </w:rPr>
              <w:sym w:font="Wingdings" w:char="F0E9"/>
            </w:r>
          </w:p>
        </w:tc>
        <w:tc>
          <w:tcPr>
            <w:tcW w:w="7801" w:type="dxa"/>
            <w:gridSpan w:val="2"/>
            <w:tcBorders>
              <w:top w:val="nil"/>
            </w:tcBorders>
            <w:shd w:val="clear" w:color="auto" w:fill="D9D9D9" w:themeFill="background1" w:themeFillShade="D9"/>
            <w:vAlign w:val="center"/>
          </w:tcPr>
          <w:p w14:paraId="11FAC330" w14:textId="77777777" w:rsidR="001D1CB4" w:rsidRDefault="001D1CB4" w:rsidP="009A329B">
            <w:pPr>
              <w:jc w:val="center"/>
              <w:rPr>
                <w:sz w:val="28"/>
                <w:szCs w:val="28"/>
              </w:rPr>
            </w:pPr>
          </w:p>
        </w:tc>
      </w:tr>
      <w:tr w:rsidR="001D1CB4" w:rsidRPr="004C5A6D" w14:paraId="7C8293D4" w14:textId="77777777" w:rsidTr="00D57F40">
        <w:trPr>
          <w:trHeight w:val="397"/>
          <w:jc w:val="center"/>
        </w:trPr>
        <w:tc>
          <w:tcPr>
            <w:tcW w:w="15309" w:type="dxa"/>
            <w:gridSpan w:val="4"/>
            <w:vAlign w:val="center"/>
          </w:tcPr>
          <w:p w14:paraId="22AB8B37" w14:textId="77777777" w:rsidR="001D1CB4" w:rsidRPr="001D1CB4" w:rsidRDefault="001D1CB4" w:rsidP="001D1CB4">
            <w:pPr>
              <w:rPr>
                <w:sz w:val="6"/>
                <w:szCs w:val="6"/>
              </w:rPr>
            </w:pPr>
          </w:p>
          <w:p w14:paraId="2A088823" w14:textId="77777777" w:rsidR="001D1CB4" w:rsidRDefault="001D1CB4" w:rsidP="000F4CDF">
            <w:pPr>
              <w:spacing w:after="120"/>
              <w:rPr>
                <w:b/>
                <w:sz w:val="28"/>
                <w:szCs w:val="28"/>
              </w:rPr>
            </w:pPr>
            <w:r w:rsidRPr="004C5A6D">
              <w:rPr>
                <w:b/>
                <w:sz w:val="28"/>
                <w:szCs w:val="28"/>
              </w:rPr>
              <w:t>TELLING OUR STORY:</w:t>
            </w:r>
          </w:p>
          <w:p w14:paraId="3020B2A8" w14:textId="77777777" w:rsidR="00C60AED" w:rsidRPr="00036039" w:rsidRDefault="00C60AED" w:rsidP="000F4CDF">
            <w:pPr>
              <w:spacing w:after="120"/>
              <w:rPr>
                <w:rFonts w:cstheme="minorHAnsi"/>
                <w:sz w:val="24"/>
                <w:szCs w:val="24"/>
              </w:rPr>
            </w:pPr>
            <w:r w:rsidRPr="00036039">
              <w:rPr>
                <w:rFonts w:cstheme="minorHAnsi"/>
                <w:sz w:val="24"/>
                <w:szCs w:val="24"/>
              </w:rPr>
              <w:t xml:space="preserve">The indicator comes from the Scottish Household Survey, and is based on a 3 year rolling average of survey results. </w:t>
            </w:r>
          </w:p>
          <w:p w14:paraId="565FFF0C" w14:textId="77777777" w:rsidR="00C60AED" w:rsidRPr="00036039" w:rsidRDefault="00C60AED" w:rsidP="000F4CDF">
            <w:pPr>
              <w:spacing w:after="120"/>
              <w:rPr>
                <w:rFonts w:cstheme="minorHAnsi"/>
                <w:sz w:val="24"/>
                <w:szCs w:val="24"/>
              </w:rPr>
            </w:pPr>
            <w:r w:rsidRPr="00036039">
              <w:rPr>
                <w:rFonts w:cstheme="minorHAnsi"/>
                <w:sz w:val="24"/>
                <w:szCs w:val="24"/>
              </w:rPr>
              <w:t>The SHS does not provide any insight into specific causes of satisfaction/dissatisfaction.</w:t>
            </w:r>
          </w:p>
          <w:p w14:paraId="02280D39" w14:textId="3BBDF1D4" w:rsidR="00B2688E" w:rsidRPr="00036039" w:rsidRDefault="00B2688E" w:rsidP="000F4CDF">
            <w:pPr>
              <w:pStyle w:val="Default"/>
              <w:spacing w:after="120"/>
              <w:rPr>
                <w:rFonts w:asciiTheme="minorHAnsi" w:hAnsiTheme="minorHAnsi" w:cstheme="minorHAnsi"/>
              </w:rPr>
            </w:pPr>
            <w:r w:rsidRPr="00036039">
              <w:rPr>
                <w:rFonts w:asciiTheme="minorHAnsi" w:hAnsiTheme="minorHAnsi" w:cstheme="minorHAnsi"/>
              </w:rPr>
              <w:t>It is worth bearing in mind that there are a limited number of parks within Argyll and Bute; only a minority of the population lives within easy distance of a park.</w:t>
            </w:r>
          </w:p>
          <w:p w14:paraId="360E5848" w14:textId="13BCF892" w:rsidR="00B2688E" w:rsidRPr="00036039" w:rsidRDefault="00B2688E" w:rsidP="000F4CDF">
            <w:pPr>
              <w:spacing w:after="120"/>
              <w:rPr>
                <w:rFonts w:cstheme="minorHAnsi"/>
                <w:sz w:val="24"/>
                <w:szCs w:val="24"/>
              </w:rPr>
            </w:pPr>
            <w:r w:rsidRPr="00036039">
              <w:rPr>
                <w:rFonts w:cstheme="minorHAnsi"/>
                <w:sz w:val="24"/>
                <w:szCs w:val="24"/>
              </w:rPr>
              <w:t xml:space="preserve">The improvement in rank has more to do with decreasing satisfaction elsewhere than it does with rate of improvement within Argyll and Bute. Between 2015/18 and 2016/19, reported levels of satisfaction with parks and open spaces fell in 22 Scottish local authorities. </w:t>
            </w:r>
          </w:p>
          <w:p w14:paraId="462109D2" w14:textId="6B8F197D" w:rsidR="00C60AED" w:rsidRPr="001D1CB4" w:rsidRDefault="00C60AED" w:rsidP="001D1CB4">
            <w:pPr>
              <w:rPr>
                <w:rFonts w:ascii="Arial" w:hAnsi="Arial" w:cs="Arial"/>
                <w:szCs w:val="24"/>
              </w:rPr>
            </w:pPr>
          </w:p>
        </w:tc>
      </w:tr>
      <w:tr w:rsidR="001D1CB4" w:rsidRPr="004C5A6D" w14:paraId="677D2FB6" w14:textId="77777777" w:rsidTr="00D57F40">
        <w:trPr>
          <w:trHeight w:val="397"/>
          <w:jc w:val="center"/>
        </w:trPr>
        <w:tc>
          <w:tcPr>
            <w:tcW w:w="15309" w:type="dxa"/>
            <w:gridSpan w:val="4"/>
            <w:vAlign w:val="center"/>
          </w:tcPr>
          <w:p w14:paraId="386E245A" w14:textId="77777777" w:rsidR="001D1CB4" w:rsidRPr="001D1CB4" w:rsidRDefault="001D1CB4" w:rsidP="001D1CB4">
            <w:pPr>
              <w:rPr>
                <w:b/>
                <w:sz w:val="6"/>
                <w:szCs w:val="6"/>
              </w:rPr>
            </w:pPr>
          </w:p>
          <w:p w14:paraId="74755FBE" w14:textId="77777777" w:rsidR="001D1CB4" w:rsidRDefault="001D1CB4" w:rsidP="001D1CB4">
            <w:pPr>
              <w:rPr>
                <w:b/>
                <w:sz w:val="28"/>
                <w:szCs w:val="28"/>
              </w:rPr>
            </w:pPr>
            <w:r>
              <w:rPr>
                <w:b/>
                <w:sz w:val="28"/>
                <w:szCs w:val="28"/>
              </w:rPr>
              <w:t>LOOKING FORWARD - EXPECTED IMPACT ON INDICATOR</w:t>
            </w:r>
            <w:r w:rsidRPr="004C5A6D">
              <w:rPr>
                <w:b/>
                <w:sz w:val="28"/>
                <w:szCs w:val="28"/>
              </w:rPr>
              <w:t>:</w:t>
            </w:r>
          </w:p>
          <w:p w14:paraId="238541D4" w14:textId="77777777" w:rsidR="003F00D3" w:rsidRDefault="003F00D3" w:rsidP="001D1CB4">
            <w:pPr>
              <w:rPr>
                <w:b/>
                <w:sz w:val="28"/>
                <w:szCs w:val="28"/>
              </w:rPr>
            </w:pPr>
          </w:p>
          <w:p w14:paraId="6CE4E07E" w14:textId="77777777" w:rsidR="003F00D3" w:rsidRPr="006D1AAA" w:rsidRDefault="003F00D3" w:rsidP="003F00D3">
            <w:pPr>
              <w:rPr>
                <w:sz w:val="24"/>
                <w:szCs w:val="24"/>
              </w:rPr>
            </w:pPr>
            <w:r w:rsidRPr="006D1AAA">
              <w:rPr>
                <w:sz w:val="24"/>
                <w:szCs w:val="24"/>
              </w:rPr>
              <w:t xml:space="preserve">With the current level of funding we would anticipate that our position is held static. However, given the budget pressures, we are actively engaging with various third sector and voluntary groups with a view to carrying out partnership working that would enable either an improved service standard or at </w:t>
            </w:r>
            <w:r w:rsidRPr="006D1AAA">
              <w:rPr>
                <w:sz w:val="24"/>
                <w:szCs w:val="24"/>
              </w:rPr>
              <w:lastRenderedPageBreak/>
              <w:t>least to maintain the current service standard should the level of funding reduced and we need to rely on third sector and voluntary groups to carry out what was previously considered to be core council activity.</w:t>
            </w:r>
          </w:p>
          <w:p w14:paraId="55AD1AAA" w14:textId="77777777" w:rsidR="001D1CB4" w:rsidRDefault="001D1CB4" w:rsidP="001D1CB4">
            <w:pPr>
              <w:rPr>
                <w:rFonts w:ascii="Arial" w:hAnsi="Arial" w:cs="Arial"/>
                <w:szCs w:val="24"/>
              </w:rPr>
            </w:pPr>
          </w:p>
          <w:p w14:paraId="01C11632" w14:textId="6BD1C42C" w:rsidR="003F00D3" w:rsidRPr="007A3777" w:rsidRDefault="003F00D3" w:rsidP="001D1CB4">
            <w:pPr>
              <w:rPr>
                <w:rFonts w:ascii="Arial" w:hAnsi="Arial" w:cs="Arial"/>
                <w:szCs w:val="24"/>
              </w:rPr>
            </w:pPr>
          </w:p>
        </w:tc>
      </w:tr>
    </w:tbl>
    <w:p w14:paraId="5C434764" w14:textId="77777777" w:rsidR="000D112E" w:rsidRDefault="000D112E">
      <w:r>
        <w:lastRenderedPageBreak/>
        <w:br w:type="page"/>
      </w:r>
    </w:p>
    <w:tbl>
      <w:tblPr>
        <w:tblStyle w:val="TableGrid3"/>
        <w:tblW w:w="15309" w:type="dxa"/>
        <w:jc w:val="center"/>
        <w:tblLook w:val="04A0" w:firstRow="1" w:lastRow="0" w:firstColumn="1" w:lastColumn="0" w:noHBand="0" w:noVBand="1"/>
      </w:tblPr>
      <w:tblGrid>
        <w:gridCol w:w="5949"/>
        <w:gridCol w:w="1417"/>
        <w:gridCol w:w="6237"/>
        <w:gridCol w:w="1706"/>
      </w:tblGrid>
      <w:tr w:rsidR="00912400" w:rsidRPr="005D65E6" w14:paraId="30ED8989" w14:textId="77777777" w:rsidTr="00912400">
        <w:trPr>
          <w:trHeight w:val="794"/>
          <w:jc w:val="center"/>
        </w:trPr>
        <w:tc>
          <w:tcPr>
            <w:tcW w:w="15309" w:type="dxa"/>
            <w:gridSpan w:val="4"/>
            <w:vAlign w:val="center"/>
          </w:tcPr>
          <w:p w14:paraId="489C581F" w14:textId="253E2F72" w:rsidR="00912400" w:rsidRPr="00F11D64" w:rsidRDefault="00912400" w:rsidP="00473295">
            <w:pPr>
              <w:rPr>
                <w:b/>
                <w:sz w:val="32"/>
                <w:highlight w:val="yellow"/>
              </w:rPr>
            </w:pPr>
            <w:r w:rsidRPr="00EF7473">
              <w:rPr>
                <w:b/>
                <w:sz w:val="32"/>
              </w:rPr>
              <w:lastRenderedPageBreak/>
              <w:t xml:space="preserve">SERVICE: </w:t>
            </w:r>
            <w:r w:rsidR="00473295" w:rsidRPr="00EF7473">
              <w:rPr>
                <w:b/>
                <w:sz w:val="32"/>
              </w:rPr>
              <w:t>ROADS AND INFRASTRUCTURE</w:t>
            </w:r>
          </w:p>
        </w:tc>
      </w:tr>
      <w:tr w:rsidR="004C5A6D" w:rsidRPr="005D3B71" w14:paraId="67450364" w14:textId="77777777" w:rsidTr="001D1CB4">
        <w:trPr>
          <w:trHeight w:val="567"/>
          <w:jc w:val="center"/>
        </w:trPr>
        <w:tc>
          <w:tcPr>
            <w:tcW w:w="15309" w:type="dxa"/>
            <w:gridSpan w:val="4"/>
            <w:vAlign w:val="center"/>
          </w:tcPr>
          <w:p w14:paraId="23C2124E" w14:textId="77777777" w:rsidR="004C5A6D" w:rsidRPr="005D3B71" w:rsidRDefault="004C5A6D" w:rsidP="009A329B">
            <w:pPr>
              <w:pStyle w:val="Heading1"/>
              <w:spacing w:before="0"/>
              <w:outlineLvl w:val="0"/>
              <w:rPr>
                <w:b/>
                <w:color w:val="auto"/>
              </w:rPr>
            </w:pPr>
            <w:bookmarkStart w:id="38" w:name="_Toc56757716"/>
            <w:r w:rsidRPr="005D3B71">
              <w:rPr>
                <w:b/>
                <w:color w:val="auto"/>
              </w:rPr>
              <w:t>INDIC</w:t>
            </w:r>
            <w:r w:rsidR="00957183" w:rsidRPr="005D3B71">
              <w:rPr>
                <w:b/>
                <w:color w:val="auto"/>
              </w:rPr>
              <w:t>ATOR REF: ENV1a - Net cost per w</w:t>
            </w:r>
            <w:r w:rsidRPr="005D3B71">
              <w:rPr>
                <w:b/>
                <w:color w:val="auto"/>
              </w:rPr>
              <w:t>aste collection per premises</w:t>
            </w:r>
            <w:bookmarkEnd w:id="38"/>
            <w:r w:rsidR="00CA7DF1" w:rsidRPr="005D3B71">
              <w:rPr>
                <w:b/>
                <w:color w:val="auto"/>
              </w:rPr>
              <w:t xml:space="preserve"> </w:t>
            </w:r>
          </w:p>
        </w:tc>
      </w:tr>
      <w:tr w:rsidR="008F2E9A" w:rsidRPr="004C5A6D" w14:paraId="5BECF5B2" w14:textId="77777777" w:rsidTr="001D1CB4">
        <w:trPr>
          <w:trHeight w:val="454"/>
          <w:jc w:val="center"/>
        </w:trPr>
        <w:tc>
          <w:tcPr>
            <w:tcW w:w="15309" w:type="dxa"/>
            <w:gridSpan w:val="4"/>
            <w:vAlign w:val="center"/>
          </w:tcPr>
          <w:p w14:paraId="5D9FF0FD" w14:textId="4371CF31" w:rsidR="008F2E9A" w:rsidRPr="0064665D" w:rsidRDefault="00DC5465" w:rsidP="000D112E">
            <w:pPr>
              <w:jc w:val="center"/>
              <w:rPr>
                <w:b/>
                <w:color w:val="0070C0"/>
                <w:sz w:val="28"/>
                <w:szCs w:val="28"/>
              </w:rPr>
            </w:pPr>
            <w:r>
              <w:rPr>
                <w:b/>
                <w:color w:val="0070C0"/>
                <w:sz w:val="28"/>
                <w:szCs w:val="28"/>
              </w:rPr>
              <w:t xml:space="preserve">Performance Range: </w:t>
            </w:r>
            <w:r w:rsidR="00E62AB6">
              <w:rPr>
                <w:b/>
                <w:color w:val="0070C0"/>
                <w:sz w:val="28"/>
                <w:szCs w:val="28"/>
              </w:rPr>
              <w:t>£</w:t>
            </w:r>
            <w:r w:rsidR="00A971EA">
              <w:rPr>
                <w:b/>
                <w:color w:val="0070C0"/>
                <w:sz w:val="28"/>
                <w:szCs w:val="28"/>
              </w:rPr>
              <w:t>36.08</w:t>
            </w:r>
            <w:r w:rsidR="00E62AB6">
              <w:rPr>
                <w:b/>
                <w:color w:val="0070C0"/>
                <w:sz w:val="28"/>
                <w:szCs w:val="28"/>
              </w:rPr>
              <w:t xml:space="preserve"> to </w:t>
            </w:r>
            <w:r>
              <w:rPr>
                <w:b/>
                <w:color w:val="0070C0"/>
                <w:sz w:val="28"/>
                <w:szCs w:val="28"/>
              </w:rPr>
              <w:t>£</w:t>
            </w:r>
            <w:r w:rsidR="00A971EA">
              <w:rPr>
                <w:b/>
                <w:color w:val="0070C0"/>
                <w:sz w:val="28"/>
                <w:szCs w:val="28"/>
              </w:rPr>
              <w:t>122.98</w:t>
            </w:r>
            <w:r w:rsidR="000E0F6F">
              <w:rPr>
                <w:b/>
                <w:color w:val="0070C0"/>
                <w:sz w:val="28"/>
                <w:szCs w:val="28"/>
              </w:rPr>
              <w:t xml:space="preserve"> </w:t>
            </w:r>
            <w:r w:rsidR="00BE08CC">
              <w:rPr>
                <w:b/>
                <w:color w:val="0070C0"/>
                <w:sz w:val="28"/>
                <w:szCs w:val="28"/>
              </w:rPr>
              <w:t xml:space="preserve"> </w:t>
            </w:r>
            <w:r w:rsidR="00BE08CC" w:rsidRPr="00BE08CC">
              <w:rPr>
                <w:b/>
                <w:color w:val="0070C0"/>
                <w:sz w:val="28"/>
                <w:szCs w:val="28"/>
              </w:rPr>
              <w:t>(Lowest is best)</w:t>
            </w:r>
          </w:p>
        </w:tc>
      </w:tr>
      <w:tr w:rsidR="004C5A6D" w:rsidRPr="004C5A6D" w14:paraId="7D3C239E" w14:textId="77777777" w:rsidTr="00E83409">
        <w:trPr>
          <w:trHeight w:val="397"/>
          <w:jc w:val="center"/>
        </w:trPr>
        <w:tc>
          <w:tcPr>
            <w:tcW w:w="7366" w:type="dxa"/>
            <w:gridSpan w:val="2"/>
            <w:shd w:val="clear" w:color="auto" w:fill="D9E2F3" w:themeFill="accent5" w:themeFillTint="33"/>
            <w:vAlign w:val="center"/>
          </w:tcPr>
          <w:p w14:paraId="2C9A9B10" w14:textId="77777777" w:rsidR="004C5A6D" w:rsidRPr="004C5A6D" w:rsidRDefault="004C5A6D" w:rsidP="009A329B">
            <w:pPr>
              <w:jc w:val="center"/>
              <w:rPr>
                <w:b/>
                <w:sz w:val="28"/>
                <w:szCs w:val="28"/>
              </w:rPr>
            </w:pPr>
            <w:r w:rsidRPr="004C5A6D">
              <w:rPr>
                <w:b/>
                <w:sz w:val="28"/>
                <w:szCs w:val="28"/>
              </w:rPr>
              <w:t>ARGYLL AND BUTE</w:t>
            </w:r>
          </w:p>
        </w:tc>
        <w:tc>
          <w:tcPr>
            <w:tcW w:w="7943" w:type="dxa"/>
            <w:gridSpan w:val="2"/>
            <w:shd w:val="clear" w:color="auto" w:fill="D9E2F3" w:themeFill="accent5" w:themeFillTint="33"/>
            <w:vAlign w:val="center"/>
          </w:tcPr>
          <w:p w14:paraId="423B6FC8" w14:textId="77777777" w:rsidR="004C5A6D" w:rsidRPr="004C5A6D" w:rsidRDefault="004C5A6D" w:rsidP="009A329B">
            <w:pPr>
              <w:jc w:val="center"/>
              <w:rPr>
                <w:b/>
                <w:sz w:val="28"/>
                <w:szCs w:val="28"/>
              </w:rPr>
            </w:pPr>
            <w:r w:rsidRPr="004C5A6D">
              <w:rPr>
                <w:b/>
                <w:sz w:val="28"/>
                <w:szCs w:val="28"/>
              </w:rPr>
              <w:t>SCOTLAND</w:t>
            </w:r>
          </w:p>
        </w:tc>
      </w:tr>
      <w:tr w:rsidR="004C5A6D" w:rsidRPr="004C5A6D" w14:paraId="4EE139E2" w14:textId="77777777" w:rsidTr="001D1CB4">
        <w:trPr>
          <w:trHeight w:val="397"/>
          <w:jc w:val="center"/>
        </w:trPr>
        <w:tc>
          <w:tcPr>
            <w:tcW w:w="7366" w:type="dxa"/>
            <w:gridSpan w:val="2"/>
            <w:vAlign w:val="center"/>
          </w:tcPr>
          <w:p w14:paraId="072F6E0C" w14:textId="0026555C" w:rsidR="004C5A6D" w:rsidRPr="004618FC" w:rsidRDefault="000D112E" w:rsidP="009A329B">
            <w:pPr>
              <w:jc w:val="center"/>
              <w:rPr>
                <w:b/>
                <w:sz w:val="28"/>
                <w:szCs w:val="28"/>
              </w:rPr>
            </w:pPr>
            <w:r>
              <w:rPr>
                <w:b/>
                <w:sz w:val="28"/>
                <w:szCs w:val="28"/>
              </w:rPr>
              <w:t>£</w:t>
            </w:r>
            <w:r w:rsidR="00A971EA">
              <w:rPr>
                <w:b/>
                <w:sz w:val="28"/>
                <w:szCs w:val="28"/>
              </w:rPr>
              <w:t>42.48</w:t>
            </w:r>
          </w:p>
        </w:tc>
        <w:tc>
          <w:tcPr>
            <w:tcW w:w="7943" w:type="dxa"/>
            <w:gridSpan w:val="2"/>
            <w:vAlign w:val="center"/>
          </w:tcPr>
          <w:p w14:paraId="419D6966" w14:textId="3C1F791B" w:rsidR="004C5A6D" w:rsidRPr="004C5A6D" w:rsidRDefault="000D112E" w:rsidP="009A329B">
            <w:pPr>
              <w:jc w:val="center"/>
              <w:rPr>
                <w:b/>
                <w:sz w:val="28"/>
                <w:szCs w:val="28"/>
              </w:rPr>
            </w:pPr>
            <w:r>
              <w:rPr>
                <w:b/>
                <w:sz w:val="28"/>
                <w:szCs w:val="28"/>
              </w:rPr>
              <w:t>£</w:t>
            </w:r>
            <w:r w:rsidR="00301A8E">
              <w:rPr>
                <w:b/>
                <w:sz w:val="28"/>
                <w:szCs w:val="28"/>
              </w:rPr>
              <w:t>67.21</w:t>
            </w:r>
          </w:p>
        </w:tc>
      </w:tr>
      <w:tr w:rsidR="001D1CB4" w:rsidRPr="004C5A6D" w14:paraId="74AAD080" w14:textId="77777777" w:rsidTr="001D1CB4">
        <w:trPr>
          <w:trHeight w:val="397"/>
          <w:jc w:val="center"/>
        </w:trPr>
        <w:tc>
          <w:tcPr>
            <w:tcW w:w="5949" w:type="dxa"/>
            <w:vAlign w:val="center"/>
          </w:tcPr>
          <w:p w14:paraId="3176660C" w14:textId="7EF0EC6E" w:rsidR="001D1CB4" w:rsidRPr="004618FC" w:rsidRDefault="001D1CB4" w:rsidP="000D112E">
            <w:pPr>
              <w:jc w:val="center"/>
              <w:rPr>
                <w:b/>
                <w:sz w:val="28"/>
                <w:szCs w:val="28"/>
              </w:rPr>
            </w:pPr>
            <w:r w:rsidRPr="00721B18">
              <w:rPr>
                <w:b/>
                <w:sz w:val="28"/>
                <w:szCs w:val="28"/>
              </w:rPr>
              <w:t>CHANGE 201</w:t>
            </w:r>
            <w:r w:rsidR="000D112E">
              <w:rPr>
                <w:b/>
                <w:sz w:val="28"/>
                <w:szCs w:val="28"/>
              </w:rPr>
              <w:t>7</w:t>
            </w:r>
            <w:r w:rsidRPr="00721B18">
              <w:rPr>
                <w:b/>
                <w:sz w:val="28"/>
                <w:szCs w:val="28"/>
              </w:rPr>
              <w:t>/1</w:t>
            </w:r>
            <w:r w:rsidR="000D112E">
              <w:rPr>
                <w:b/>
                <w:sz w:val="28"/>
                <w:szCs w:val="28"/>
              </w:rPr>
              <w:t>8</w:t>
            </w:r>
            <w:r w:rsidRPr="00721B18">
              <w:rPr>
                <w:b/>
                <w:sz w:val="28"/>
                <w:szCs w:val="28"/>
              </w:rPr>
              <w:t xml:space="preserve"> TO </w:t>
            </w:r>
            <w:r>
              <w:rPr>
                <w:b/>
                <w:sz w:val="28"/>
                <w:szCs w:val="28"/>
              </w:rPr>
              <w:t>201</w:t>
            </w:r>
            <w:r w:rsidR="000D112E">
              <w:rPr>
                <w:b/>
                <w:sz w:val="28"/>
                <w:szCs w:val="28"/>
              </w:rPr>
              <w:t>8</w:t>
            </w:r>
            <w:r>
              <w:rPr>
                <w:b/>
                <w:sz w:val="28"/>
                <w:szCs w:val="28"/>
              </w:rPr>
              <w:t>/1</w:t>
            </w:r>
            <w:r w:rsidR="000D112E">
              <w:rPr>
                <w:b/>
                <w:sz w:val="28"/>
                <w:szCs w:val="28"/>
              </w:rPr>
              <w:t>9</w:t>
            </w:r>
          </w:p>
        </w:tc>
        <w:tc>
          <w:tcPr>
            <w:tcW w:w="1417" w:type="dxa"/>
            <w:vAlign w:val="center"/>
          </w:tcPr>
          <w:p w14:paraId="2635B71F" w14:textId="11B51978" w:rsidR="001D1CB4" w:rsidRPr="004618FC" w:rsidRDefault="00301A8E" w:rsidP="009A329B">
            <w:pPr>
              <w:jc w:val="center"/>
              <w:rPr>
                <w:b/>
                <w:sz w:val="28"/>
                <w:szCs w:val="28"/>
              </w:rPr>
            </w:pPr>
            <w:r>
              <w:rPr>
                <w:b/>
                <w:sz w:val="28"/>
                <w:szCs w:val="28"/>
              </w:rPr>
              <w:t>-22.4</w:t>
            </w:r>
            <w:r w:rsidR="000D112E">
              <w:rPr>
                <w:b/>
                <w:sz w:val="28"/>
                <w:szCs w:val="28"/>
              </w:rPr>
              <w:t>%</w:t>
            </w:r>
            <w:r w:rsidR="00EF7473">
              <w:rPr>
                <w:b/>
                <w:sz w:val="28"/>
                <w:szCs w:val="28"/>
              </w:rPr>
              <w:t xml:space="preserve"> </w:t>
            </w:r>
            <w:r w:rsidR="00EF7473" w:rsidRPr="00EC5E64">
              <w:rPr>
                <w:b/>
                <w:color w:val="00B050"/>
                <w:sz w:val="28"/>
                <w:szCs w:val="28"/>
              </w:rPr>
              <w:sym w:font="Wingdings" w:char="F0EA"/>
            </w:r>
          </w:p>
        </w:tc>
        <w:tc>
          <w:tcPr>
            <w:tcW w:w="6237" w:type="dxa"/>
            <w:vAlign w:val="center"/>
          </w:tcPr>
          <w:p w14:paraId="75BEF527" w14:textId="7B669613" w:rsidR="001D1CB4" w:rsidRDefault="001D1CB4" w:rsidP="000D112E">
            <w:pPr>
              <w:jc w:val="center"/>
              <w:rPr>
                <w:b/>
                <w:sz w:val="28"/>
                <w:szCs w:val="28"/>
              </w:rPr>
            </w:pPr>
            <w:r>
              <w:rPr>
                <w:sz w:val="28"/>
                <w:szCs w:val="28"/>
              </w:rPr>
              <w:t>CHANGE 201</w:t>
            </w:r>
            <w:r w:rsidR="000D112E">
              <w:rPr>
                <w:sz w:val="28"/>
                <w:szCs w:val="28"/>
              </w:rPr>
              <w:t>7</w:t>
            </w:r>
            <w:r>
              <w:rPr>
                <w:sz w:val="28"/>
                <w:szCs w:val="28"/>
              </w:rPr>
              <w:t>/1</w:t>
            </w:r>
            <w:r w:rsidR="000D112E">
              <w:rPr>
                <w:sz w:val="28"/>
                <w:szCs w:val="28"/>
              </w:rPr>
              <w:t>8</w:t>
            </w:r>
            <w:r>
              <w:rPr>
                <w:sz w:val="28"/>
                <w:szCs w:val="28"/>
              </w:rPr>
              <w:t xml:space="preserve"> TO 201</w:t>
            </w:r>
            <w:r w:rsidR="000D112E">
              <w:rPr>
                <w:sz w:val="28"/>
                <w:szCs w:val="28"/>
              </w:rPr>
              <w:t>8</w:t>
            </w:r>
            <w:r>
              <w:rPr>
                <w:sz w:val="28"/>
                <w:szCs w:val="28"/>
              </w:rPr>
              <w:t>/1</w:t>
            </w:r>
            <w:r w:rsidR="000D112E">
              <w:rPr>
                <w:sz w:val="28"/>
                <w:szCs w:val="28"/>
              </w:rPr>
              <w:t>9</w:t>
            </w:r>
          </w:p>
        </w:tc>
        <w:tc>
          <w:tcPr>
            <w:tcW w:w="1706" w:type="dxa"/>
            <w:vAlign w:val="center"/>
          </w:tcPr>
          <w:p w14:paraId="39CFD1A7" w14:textId="6399A51B" w:rsidR="001D1CB4" w:rsidRDefault="00EF7473" w:rsidP="009A329B">
            <w:pPr>
              <w:jc w:val="center"/>
              <w:rPr>
                <w:b/>
                <w:sz w:val="28"/>
                <w:szCs w:val="28"/>
              </w:rPr>
            </w:pPr>
            <w:r>
              <w:rPr>
                <w:sz w:val="28"/>
                <w:szCs w:val="28"/>
              </w:rPr>
              <w:t>0</w:t>
            </w:r>
            <w:r w:rsidR="000D112E">
              <w:rPr>
                <w:sz w:val="28"/>
                <w:szCs w:val="28"/>
              </w:rPr>
              <w:t>%</w:t>
            </w:r>
            <w:r>
              <w:rPr>
                <w:sz w:val="28"/>
                <w:szCs w:val="28"/>
              </w:rPr>
              <w:t xml:space="preserve"> </w:t>
            </w:r>
            <w:r w:rsidRPr="00A83E3B">
              <w:rPr>
                <w:b/>
                <w:color w:val="0070C0"/>
                <w:sz w:val="28"/>
                <w:szCs w:val="28"/>
              </w:rPr>
              <w:sym w:font="Wingdings" w:char="F0E8"/>
            </w:r>
          </w:p>
        </w:tc>
      </w:tr>
      <w:tr w:rsidR="001D1CB4" w:rsidRPr="004C5A6D" w14:paraId="5556C305" w14:textId="77777777" w:rsidTr="001D1CB4">
        <w:trPr>
          <w:trHeight w:val="397"/>
          <w:jc w:val="center"/>
        </w:trPr>
        <w:tc>
          <w:tcPr>
            <w:tcW w:w="5949" w:type="dxa"/>
            <w:vAlign w:val="center"/>
          </w:tcPr>
          <w:p w14:paraId="580DC0B9" w14:textId="49680064" w:rsidR="001D1CB4" w:rsidRPr="00721B18" w:rsidRDefault="001D1CB4" w:rsidP="000D112E">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w:t>
            </w:r>
            <w:r w:rsidR="000D112E">
              <w:rPr>
                <w:b/>
                <w:sz w:val="28"/>
                <w:szCs w:val="28"/>
              </w:rPr>
              <w:t>8</w:t>
            </w:r>
            <w:r>
              <w:rPr>
                <w:b/>
                <w:sz w:val="28"/>
                <w:szCs w:val="28"/>
              </w:rPr>
              <w:t>/1</w:t>
            </w:r>
            <w:r w:rsidR="000D112E">
              <w:rPr>
                <w:b/>
                <w:sz w:val="28"/>
                <w:szCs w:val="28"/>
              </w:rPr>
              <w:t>9</w:t>
            </w:r>
          </w:p>
        </w:tc>
        <w:tc>
          <w:tcPr>
            <w:tcW w:w="1417" w:type="dxa"/>
            <w:vAlign w:val="center"/>
          </w:tcPr>
          <w:p w14:paraId="22A76DB9" w14:textId="4336CAD5" w:rsidR="001D1CB4" w:rsidRPr="004618FC" w:rsidRDefault="00301A8E" w:rsidP="009A329B">
            <w:pPr>
              <w:jc w:val="center"/>
              <w:rPr>
                <w:b/>
                <w:sz w:val="28"/>
                <w:szCs w:val="28"/>
              </w:rPr>
            </w:pPr>
            <w:r>
              <w:rPr>
                <w:b/>
                <w:sz w:val="28"/>
                <w:szCs w:val="28"/>
              </w:rPr>
              <w:t>-15.33</w:t>
            </w:r>
            <w:r w:rsidR="000D112E">
              <w:rPr>
                <w:b/>
                <w:sz w:val="28"/>
                <w:szCs w:val="28"/>
              </w:rPr>
              <w:t>%</w:t>
            </w:r>
            <w:r w:rsidR="00EF7473">
              <w:rPr>
                <w:b/>
                <w:sz w:val="28"/>
                <w:szCs w:val="28"/>
              </w:rPr>
              <w:t xml:space="preserve"> </w:t>
            </w:r>
            <w:r w:rsidR="00EF7473" w:rsidRPr="00EC5E64">
              <w:rPr>
                <w:b/>
                <w:color w:val="00B050"/>
                <w:sz w:val="28"/>
                <w:szCs w:val="28"/>
              </w:rPr>
              <w:sym w:font="Wingdings" w:char="F0EA"/>
            </w:r>
          </w:p>
        </w:tc>
        <w:tc>
          <w:tcPr>
            <w:tcW w:w="6237" w:type="dxa"/>
            <w:tcBorders>
              <w:bottom w:val="single" w:sz="4" w:space="0" w:color="auto"/>
            </w:tcBorders>
            <w:vAlign w:val="center"/>
          </w:tcPr>
          <w:p w14:paraId="0C2916FF" w14:textId="67C858E0" w:rsidR="001D1CB4" w:rsidRDefault="001D1CB4" w:rsidP="000D112E">
            <w:pPr>
              <w:jc w:val="center"/>
              <w:rPr>
                <w:sz w:val="28"/>
                <w:szCs w:val="28"/>
              </w:rPr>
            </w:pPr>
            <w:r>
              <w:rPr>
                <w:sz w:val="28"/>
                <w:szCs w:val="28"/>
              </w:rPr>
              <w:t xml:space="preserve">CHANGE </w:t>
            </w:r>
            <w:r w:rsidRPr="00903E39">
              <w:rPr>
                <w:sz w:val="28"/>
                <w:szCs w:val="28"/>
              </w:rPr>
              <w:t xml:space="preserve">BASE YEAR </w:t>
            </w:r>
            <w:r>
              <w:rPr>
                <w:sz w:val="28"/>
                <w:szCs w:val="28"/>
              </w:rPr>
              <w:t>TO 201</w:t>
            </w:r>
            <w:r w:rsidR="000D112E">
              <w:rPr>
                <w:sz w:val="28"/>
                <w:szCs w:val="28"/>
              </w:rPr>
              <w:t>8</w:t>
            </w:r>
            <w:r>
              <w:rPr>
                <w:sz w:val="28"/>
                <w:szCs w:val="28"/>
              </w:rPr>
              <w:t>/1</w:t>
            </w:r>
            <w:r w:rsidR="000D112E">
              <w:rPr>
                <w:sz w:val="28"/>
                <w:szCs w:val="28"/>
              </w:rPr>
              <w:t>9</w:t>
            </w:r>
          </w:p>
        </w:tc>
        <w:tc>
          <w:tcPr>
            <w:tcW w:w="1706" w:type="dxa"/>
            <w:tcBorders>
              <w:bottom w:val="single" w:sz="4" w:space="0" w:color="auto"/>
            </w:tcBorders>
            <w:vAlign w:val="center"/>
          </w:tcPr>
          <w:p w14:paraId="1F63DE60" w14:textId="1A7637A1" w:rsidR="001D1CB4" w:rsidRDefault="00EF7473" w:rsidP="009A329B">
            <w:pPr>
              <w:jc w:val="center"/>
              <w:rPr>
                <w:sz w:val="28"/>
                <w:szCs w:val="28"/>
              </w:rPr>
            </w:pPr>
            <w:r>
              <w:rPr>
                <w:sz w:val="28"/>
                <w:szCs w:val="28"/>
              </w:rPr>
              <w:t>2.81</w:t>
            </w:r>
            <w:r w:rsidR="000D112E">
              <w:rPr>
                <w:sz w:val="28"/>
                <w:szCs w:val="28"/>
              </w:rPr>
              <w:t>%</w:t>
            </w:r>
            <w:r>
              <w:rPr>
                <w:sz w:val="28"/>
                <w:szCs w:val="28"/>
              </w:rPr>
              <w:t xml:space="preserve"> </w:t>
            </w:r>
            <w:r w:rsidRPr="00C14931">
              <w:rPr>
                <w:b/>
                <w:color w:val="FF0000"/>
                <w:sz w:val="28"/>
                <w:szCs w:val="28"/>
              </w:rPr>
              <w:sym w:font="Wingdings" w:char="F0E9"/>
            </w:r>
          </w:p>
        </w:tc>
      </w:tr>
      <w:tr w:rsidR="001D1CB4" w:rsidRPr="004C5A6D" w14:paraId="5FBB1B8D" w14:textId="77777777" w:rsidTr="00B318EA">
        <w:trPr>
          <w:trHeight w:val="397"/>
          <w:jc w:val="center"/>
        </w:trPr>
        <w:tc>
          <w:tcPr>
            <w:tcW w:w="7366" w:type="dxa"/>
            <w:gridSpan w:val="2"/>
            <w:tcBorders>
              <w:bottom w:val="single" w:sz="4" w:space="0" w:color="auto"/>
            </w:tcBorders>
            <w:vAlign w:val="center"/>
          </w:tcPr>
          <w:p w14:paraId="7C846EDB" w14:textId="3AA3AF8C" w:rsidR="001D1CB4" w:rsidRPr="004618FC" w:rsidRDefault="001D1CB4" w:rsidP="000D112E">
            <w:pPr>
              <w:jc w:val="center"/>
              <w:rPr>
                <w:b/>
                <w:sz w:val="28"/>
                <w:szCs w:val="28"/>
              </w:rPr>
            </w:pPr>
            <w:r w:rsidRPr="004618FC">
              <w:rPr>
                <w:b/>
                <w:sz w:val="28"/>
                <w:szCs w:val="28"/>
              </w:rPr>
              <w:t>RANK POSITION</w:t>
            </w:r>
            <w:r w:rsidRPr="00A971EA">
              <w:rPr>
                <w:b/>
                <w:sz w:val="28"/>
                <w:szCs w:val="28"/>
              </w:rPr>
              <w:t>:</w:t>
            </w:r>
            <w:r w:rsidR="00513443" w:rsidRPr="00A971EA">
              <w:rPr>
                <w:b/>
                <w:sz w:val="28"/>
                <w:szCs w:val="28"/>
              </w:rPr>
              <w:t xml:space="preserve">  </w:t>
            </w:r>
            <w:r w:rsidR="00A971EA">
              <w:rPr>
                <w:b/>
                <w:sz w:val="28"/>
                <w:szCs w:val="28"/>
              </w:rPr>
              <w:t>3</w:t>
            </w:r>
            <w:r w:rsidR="00513443" w:rsidRPr="00A971EA">
              <w:rPr>
                <w:b/>
                <w:sz w:val="28"/>
                <w:szCs w:val="28"/>
              </w:rPr>
              <w:t xml:space="preserve">  </w:t>
            </w:r>
            <w:r w:rsidRPr="004618FC">
              <w:rPr>
                <w:b/>
                <w:sz w:val="28"/>
                <w:szCs w:val="28"/>
              </w:rPr>
              <w:t xml:space="preserve">RANK MOVEMENT: </w:t>
            </w:r>
            <w:r w:rsidR="00301A8E">
              <w:rPr>
                <w:b/>
                <w:sz w:val="28"/>
                <w:szCs w:val="28"/>
              </w:rPr>
              <w:t>6</w:t>
            </w:r>
            <w:r w:rsidR="00EF7473">
              <w:rPr>
                <w:b/>
                <w:sz w:val="28"/>
                <w:szCs w:val="28"/>
              </w:rPr>
              <w:t xml:space="preserve"> </w:t>
            </w:r>
            <w:r w:rsidR="00EF7473" w:rsidRPr="00EC5E64">
              <w:rPr>
                <w:b/>
                <w:color w:val="00B050"/>
                <w:sz w:val="28"/>
                <w:szCs w:val="28"/>
              </w:rPr>
              <w:sym w:font="Wingdings" w:char="F0E9"/>
            </w:r>
          </w:p>
        </w:tc>
        <w:tc>
          <w:tcPr>
            <w:tcW w:w="7943" w:type="dxa"/>
            <w:gridSpan w:val="2"/>
            <w:tcBorders>
              <w:bottom w:val="nil"/>
            </w:tcBorders>
            <w:shd w:val="clear" w:color="auto" w:fill="D9D9D9" w:themeFill="background1" w:themeFillShade="D9"/>
            <w:vAlign w:val="center"/>
          </w:tcPr>
          <w:p w14:paraId="7F9DB1CE" w14:textId="77777777" w:rsidR="001D1CB4" w:rsidRDefault="001D1CB4" w:rsidP="009A329B">
            <w:pPr>
              <w:jc w:val="center"/>
              <w:rPr>
                <w:sz w:val="28"/>
                <w:szCs w:val="28"/>
              </w:rPr>
            </w:pPr>
          </w:p>
        </w:tc>
      </w:tr>
      <w:tr w:rsidR="001D1CB4" w:rsidRPr="004C5A6D" w14:paraId="4C2C6514" w14:textId="77777777" w:rsidTr="00B318EA">
        <w:trPr>
          <w:trHeight w:val="397"/>
          <w:jc w:val="center"/>
        </w:trPr>
        <w:tc>
          <w:tcPr>
            <w:tcW w:w="7366" w:type="dxa"/>
            <w:gridSpan w:val="2"/>
            <w:tcBorders>
              <w:bottom w:val="nil"/>
            </w:tcBorders>
            <w:shd w:val="clear" w:color="auto" w:fill="D9E2F3" w:themeFill="accent5" w:themeFillTint="33"/>
            <w:vAlign w:val="center"/>
          </w:tcPr>
          <w:p w14:paraId="281CE9D5" w14:textId="51F2A7E9" w:rsidR="001D1CB4" w:rsidRPr="004618FC" w:rsidRDefault="001D1CB4" w:rsidP="000D112E">
            <w:pPr>
              <w:jc w:val="center"/>
              <w:rPr>
                <w:b/>
                <w:sz w:val="28"/>
                <w:szCs w:val="28"/>
              </w:rPr>
            </w:pPr>
            <w:r>
              <w:rPr>
                <w:b/>
                <w:sz w:val="28"/>
                <w:szCs w:val="28"/>
              </w:rPr>
              <w:t>FAMILY GROUP RANKING 201</w:t>
            </w:r>
            <w:r w:rsidR="000D112E">
              <w:rPr>
                <w:b/>
                <w:sz w:val="28"/>
                <w:szCs w:val="28"/>
              </w:rPr>
              <w:t>8</w:t>
            </w:r>
            <w:r>
              <w:rPr>
                <w:b/>
                <w:sz w:val="28"/>
                <w:szCs w:val="28"/>
              </w:rPr>
              <w:t>/1</w:t>
            </w:r>
            <w:r w:rsidR="000D112E">
              <w:rPr>
                <w:b/>
                <w:sz w:val="28"/>
                <w:szCs w:val="28"/>
              </w:rPr>
              <w:t>9</w:t>
            </w:r>
          </w:p>
        </w:tc>
        <w:tc>
          <w:tcPr>
            <w:tcW w:w="7943" w:type="dxa"/>
            <w:gridSpan w:val="2"/>
            <w:tcBorders>
              <w:top w:val="nil"/>
              <w:bottom w:val="nil"/>
            </w:tcBorders>
            <w:shd w:val="clear" w:color="auto" w:fill="D9D9D9" w:themeFill="background1" w:themeFillShade="D9"/>
            <w:vAlign w:val="center"/>
          </w:tcPr>
          <w:p w14:paraId="784362A6" w14:textId="77777777" w:rsidR="001D1CB4" w:rsidRDefault="001D1CB4" w:rsidP="009A329B">
            <w:pPr>
              <w:jc w:val="center"/>
              <w:rPr>
                <w:sz w:val="28"/>
                <w:szCs w:val="28"/>
              </w:rPr>
            </w:pPr>
          </w:p>
        </w:tc>
      </w:tr>
      <w:tr w:rsidR="001D1CB4" w:rsidRPr="004C5A6D" w14:paraId="62EC0009" w14:textId="77777777" w:rsidTr="00B318EA">
        <w:trPr>
          <w:trHeight w:val="397"/>
          <w:jc w:val="center"/>
        </w:trPr>
        <w:tc>
          <w:tcPr>
            <w:tcW w:w="7366" w:type="dxa"/>
            <w:gridSpan w:val="2"/>
            <w:tcBorders>
              <w:top w:val="nil"/>
            </w:tcBorders>
            <w:shd w:val="clear" w:color="auto" w:fill="D9E2F3" w:themeFill="accent5" w:themeFillTint="33"/>
            <w:vAlign w:val="center"/>
          </w:tcPr>
          <w:p w14:paraId="5E2E83F6" w14:textId="6F7311C4" w:rsidR="001D1CB4" w:rsidRPr="004618FC" w:rsidRDefault="001D1CB4" w:rsidP="000D112E">
            <w:pPr>
              <w:jc w:val="center"/>
              <w:rPr>
                <w:b/>
                <w:sz w:val="28"/>
                <w:szCs w:val="28"/>
              </w:rPr>
            </w:pPr>
            <w:r>
              <w:rPr>
                <w:b/>
                <w:sz w:val="28"/>
                <w:szCs w:val="28"/>
              </w:rPr>
              <w:t>RANK POSITION:</w:t>
            </w:r>
            <w:r w:rsidR="00FD1CF1">
              <w:rPr>
                <w:b/>
                <w:sz w:val="28"/>
                <w:szCs w:val="28"/>
              </w:rPr>
              <w:t xml:space="preserve"> </w:t>
            </w:r>
            <w:r w:rsidR="00301A8E">
              <w:rPr>
                <w:b/>
                <w:sz w:val="28"/>
                <w:szCs w:val="28"/>
              </w:rPr>
              <w:t>1</w:t>
            </w:r>
            <w:r w:rsidR="00FD1CF1">
              <w:rPr>
                <w:b/>
                <w:sz w:val="28"/>
                <w:szCs w:val="28"/>
              </w:rPr>
              <w:t xml:space="preserve">   </w:t>
            </w:r>
            <w:r>
              <w:rPr>
                <w:b/>
                <w:sz w:val="28"/>
                <w:szCs w:val="28"/>
              </w:rPr>
              <w:t xml:space="preserve">RANK MOVEMENT: </w:t>
            </w:r>
            <w:r w:rsidR="00301A8E">
              <w:rPr>
                <w:b/>
                <w:sz w:val="28"/>
                <w:szCs w:val="28"/>
              </w:rPr>
              <w:t>2</w:t>
            </w:r>
            <w:r w:rsidR="00EF7473">
              <w:rPr>
                <w:b/>
                <w:sz w:val="28"/>
                <w:szCs w:val="28"/>
              </w:rPr>
              <w:t xml:space="preserve"> </w:t>
            </w:r>
            <w:r w:rsidR="00EF7473" w:rsidRPr="00EC5E64">
              <w:rPr>
                <w:b/>
                <w:color w:val="00B050"/>
                <w:sz w:val="28"/>
                <w:szCs w:val="28"/>
              </w:rPr>
              <w:sym w:font="Wingdings" w:char="F0E9"/>
            </w:r>
          </w:p>
        </w:tc>
        <w:tc>
          <w:tcPr>
            <w:tcW w:w="7943" w:type="dxa"/>
            <w:gridSpan w:val="2"/>
            <w:tcBorders>
              <w:top w:val="nil"/>
            </w:tcBorders>
            <w:shd w:val="clear" w:color="auto" w:fill="D9D9D9" w:themeFill="background1" w:themeFillShade="D9"/>
            <w:vAlign w:val="center"/>
          </w:tcPr>
          <w:p w14:paraId="39894A16" w14:textId="77777777" w:rsidR="001D1CB4" w:rsidRDefault="001D1CB4" w:rsidP="009A329B">
            <w:pPr>
              <w:jc w:val="center"/>
              <w:rPr>
                <w:sz w:val="28"/>
                <w:szCs w:val="28"/>
              </w:rPr>
            </w:pPr>
          </w:p>
        </w:tc>
      </w:tr>
      <w:tr w:rsidR="001D1CB4" w:rsidRPr="004C5A6D" w14:paraId="25C66B24" w14:textId="77777777" w:rsidTr="00D57F40">
        <w:trPr>
          <w:trHeight w:val="397"/>
          <w:jc w:val="center"/>
        </w:trPr>
        <w:tc>
          <w:tcPr>
            <w:tcW w:w="15309" w:type="dxa"/>
            <w:gridSpan w:val="4"/>
            <w:vAlign w:val="center"/>
          </w:tcPr>
          <w:p w14:paraId="12CA5581" w14:textId="77777777" w:rsidR="001D1CB4" w:rsidRPr="001D1CB4" w:rsidRDefault="001D1CB4" w:rsidP="001D1CB4">
            <w:pPr>
              <w:rPr>
                <w:sz w:val="6"/>
                <w:szCs w:val="6"/>
              </w:rPr>
            </w:pPr>
          </w:p>
          <w:p w14:paraId="773EEF7B" w14:textId="77777777" w:rsidR="001D1CB4" w:rsidRDefault="001D1CB4" w:rsidP="000F4CDF">
            <w:pPr>
              <w:spacing w:after="120"/>
              <w:rPr>
                <w:b/>
                <w:sz w:val="28"/>
                <w:szCs w:val="28"/>
              </w:rPr>
            </w:pPr>
            <w:r w:rsidRPr="004C5A6D">
              <w:rPr>
                <w:b/>
                <w:sz w:val="28"/>
                <w:szCs w:val="28"/>
              </w:rPr>
              <w:t>TELLING OUR STORY:</w:t>
            </w:r>
          </w:p>
          <w:p w14:paraId="0FCBDA0D" w14:textId="7930D802" w:rsidR="00DB25A9" w:rsidRPr="00036039" w:rsidRDefault="00DB25A9" w:rsidP="000F4CDF">
            <w:pPr>
              <w:spacing w:after="120"/>
              <w:rPr>
                <w:rFonts w:cstheme="minorHAnsi"/>
                <w:sz w:val="24"/>
                <w:szCs w:val="24"/>
              </w:rPr>
            </w:pPr>
            <w:r w:rsidRPr="00036039">
              <w:rPr>
                <w:rFonts w:cstheme="minorHAnsi"/>
                <w:sz w:val="24"/>
                <w:szCs w:val="24"/>
              </w:rPr>
              <w:t>For the fourth</w:t>
            </w:r>
            <w:r w:rsidR="000F4CDF">
              <w:rPr>
                <w:rFonts w:cstheme="minorHAnsi"/>
                <w:sz w:val="24"/>
                <w:szCs w:val="24"/>
              </w:rPr>
              <w:t xml:space="preserve"> </w:t>
            </w:r>
            <w:r w:rsidRPr="00036039">
              <w:rPr>
                <w:rFonts w:cstheme="minorHAnsi"/>
                <w:sz w:val="24"/>
                <w:szCs w:val="24"/>
              </w:rPr>
              <w:t>consecutive year, net cost of waste collection per premise has decreased in Argyll and Bute. This improvement in performance is reflected both in the indicator measure and in the improvement in ranking.</w:t>
            </w:r>
          </w:p>
          <w:p w14:paraId="777D878F" w14:textId="77777777" w:rsidR="00DB25A9" w:rsidRPr="001D1CB4" w:rsidRDefault="00DB25A9" w:rsidP="000D112E">
            <w:pPr>
              <w:rPr>
                <w:rFonts w:ascii="Arial" w:hAnsi="Arial" w:cs="Arial"/>
                <w:szCs w:val="28"/>
              </w:rPr>
            </w:pPr>
          </w:p>
        </w:tc>
      </w:tr>
      <w:tr w:rsidR="001D1CB4" w:rsidRPr="004C5A6D" w14:paraId="30A7D623" w14:textId="77777777" w:rsidTr="00D57F40">
        <w:trPr>
          <w:trHeight w:val="397"/>
          <w:jc w:val="center"/>
        </w:trPr>
        <w:tc>
          <w:tcPr>
            <w:tcW w:w="15309" w:type="dxa"/>
            <w:gridSpan w:val="4"/>
            <w:vAlign w:val="center"/>
          </w:tcPr>
          <w:p w14:paraId="48091706" w14:textId="77777777" w:rsidR="001D1CB4" w:rsidRPr="001D1CB4" w:rsidRDefault="001D1CB4" w:rsidP="001D1CB4">
            <w:pPr>
              <w:rPr>
                <w:sz w:val="6"/>
                <w:szCs w:val="6"/>
              </w:rPr>
            </w:pPr>
          </w:p>
          <w:p w14:paraId="1FC51DF1" w14:textId="77777777" w:rsidR="001D1CB4" w:rsidRDefault="001D1CB4" w:rsidP="001D1CB4">
            <w:pPr>
              <w:rPr>
                <w:b/>
                <w:sz w:val="28"/>
                <w:szCs w:val="28"/>
              </w:rPr>
            </w:pPr>
            <w:r>
              <w:rPr>
                <w:b/>
                <w:sz w:val="28"/>
                <w:szCs w:val="28"/>
              </w:rPr>
              <w:t>LOOKING FORWARD - EXPECTED IMPACT ON INDICATOR</w:t>
            </w:r>
            <w:r w:rsidRPr="004C5A6D">
              <w:rPr>
                <w:b/>
                <w:sz w:val="28"/>
                <w:szCs w:val="28"/>
              </w:rPr>
              <w:t>:</w:t>
            </w:r>
          </w:p>
          <w:p w14:paraId="63EDF301" w14:textId="77777777" w:rsidR="003F00D3" w:rsidRDefault="003F00D3" w:rsidP="001D1CB4">
            <w:pPr>
              <w:rPr>
                <w:b/>
                <w:sz w:val="28"/>
                <w:szCs w:val="28"/>
              </w:rPr>
            </w:pPr>
          </w:p>
          <w:p w14:paraId="240E9EF8" w14:textId="5FF56343" w:rsidR="003F00D3" w:rsidRPr="004C5A6D" w:rsidRDefault="003F00D3" w:rsidP="001D1CB4">
            <w:pPr>
              <w:rPr>
                <w:b/>
                <w:sz w:val="28"/>
                <w:szCs w:val="28"/>
              </w:rPr>
            </w:pPr>
            <w:r>
              <w:rPr>
                <w:sz w:val="24"/>
                <w:szCs w:val="24"/>
              </w:rPr>
              <w:t xml:space="preserve">The Biodegradable Municipal Waste ban which is expected to come into place at the end of 2025 should result in a reduction in the cost of waste collection per premises. However, this reduction could be offset by additional costs incurred in disposal due in part to the distance that materials will need to </w:t>
            </w:r>
            <w:proofErr w:type="gramStart"/>
            <w:r>
              <w:rPr>
                <w:sz w:val="24"/>
                <w:szCs w:val="24"/>
              </w:rPr>
              <w:t>transported</w:t>
            </w:r>
            <w:proofErr w:type="gramEnd"/>
            <w:r>
              <w:rPr>
                <w:sz w:val="24"/>
                <w:szCs w:val="24"/>
              </w:rPr>
              <w:t xml:space="preserve"> to offtakers.</w:t>
            </w:r>
          </w:p>
          <w:p w14:paraId="3BBF302C" w14:textId="77777777" w:rsidR="001D1CB4" w:rsidRPr="001D1CB4" w:rsidRDefault="001D1CB4" w:rsidP="000D112E">
            <w:pPr>
              <w:rPr>
                <w:rFonts w:ascii="Arial" w:hAnsi="Arial" w:cs="Arial"/>
                <w:szCs w:val="28"/>
              </w:rPr>
            </w:pPr>
          </w:p>
        </w:tc>
      </w:tr>
    </w:tbl>
    <w:p w14:paraId="53586FF4" w14:textId="77777777" w:rsidR="000D112E" w:rsidRDefault="000D112E">
      <w:r>
        <w:br w:type="page"/>
      </w:r>
    </w:p>
    <w:tbl>
      <w:tblPr>
        <w:tblStyle w:val="TableGrid3"/>
        <w:tblW w:w="15309" w:type="dxa"/>
        <w:jc w:val="center"/>
        <w:tblLook w:val="04A0" w:firstRow="1" w:lastRow="0" w:firstColumn="1" w:lastColumn="0" w:noHBand="0" w:noVBand="1"/>
      </w:tblPr>
      <w:tblGrid>
        <w:gridCol w:w="5949"/>
        <w:gridCol w:w="1417"/>
        <w:gridCol w:w="6237"/>
        <w:gridCol w:w="1706"/>
      </w:tblGrid>
      <w:tr w:rsidR="00912400" w:rsidRPr="005D65E6" w14:paraId="74499D16" w14:textId="77777777" w:rsidTr="00912400">
        <w:trPr>
          <w:trHeight w:val="794"/>
          <w:jc w:val="center"/>
        </w:trPr>
        <w:tc>
          <w:tcPr>
            <w:tcW w:w="15309" w:type="dxa"/>
            <w:gridSpan w:val="4"/>
            <w:vAlign w:val="center"/>
          </w:tcPr>
          <w:p w14:paraId="63E21B99" w14:textId="1DE7E9EF" w:rsidR="00912400" w:rsidRPr="005D65E6" w:rsidRDefault="00912400" w:rsidP="00473295">
            <w:pPr>
              <w:rPr>
                <w:b/>
                <w:sz w:val="32"/>
              </w:rPr>
            </w:pPr>
            <w:r w:rsidRPr="005D65E6">
              <w:rPr>
                <w:b/>
                <w:sz w:val="32"/>
              </w:rPr>
              <w:lastRenderedPageBreak/>
              <w:t xml:space="preserve">SERVICE: </w:t>
            </w:r>
            <w:r w:rsidR="00473295" w:rsidRPr="005D65E6">
              <w:rPr>
                <w:b/>
                <w:sz w:val="32"/>
              </w:rPr>
              <w:t xml:space="preserve">ROADS AND </w:t>
            </w:r>
            <w:r w:rsidR="00473295">
              <w:rPr>
                <w:b/>
                <w:sz w:val="32"/>
              </w:rPr>
              <w:t>INFRASTRUCTURE</w:t>
            </w:r>
          </w:p>
        </w:tc>
      </w:tr>
      <w:tr w:rsidR="004C5A6D" w:rsidRPr="005D3B71" w14:paraId="24B83404" w14:textId="77777777" w:rsidTr="0010243D">
        <w:trPr>
          <w:trHeight w:val="567"/>
          <w:jc w:val="center"/>
        </w:trPr>
        <w:tc>
          <w:tcPr>
            <w:tcW w:w="15309" w:type="dxa"/>
            <w:gridSpan w:val="4"/>
            <w:vAlign w:val="center"/>
          </w:tcPr>
          <w:p w14:paraId="471C5365" w14:textId="77777777" w:rsidR="004C5A6D" w:rsidRPr="005D3B71" w:rsidRDefault="004C5A6D" w:rsidP="009A329B">
            <w:pPr>
              <w:pStyle w:val="Heading1"/>
              <w:spacing w:before="0"/>
              <w:outlineLvl w:val="0"/>
              <w:rPr>
                <w:b/>
                <w:color w:val="auto"/>
              </w:rPr>
            </w:pPr>
            <w:bookmarkStart w:id="39" w:name="_Toc56757717"/>
            <w:r w:rsidRPr="005D3B71">
              <w:rPr>
                <w:b/>
                <w:color w:val="auto"/>
              </w:rPr>
              <w:t>IND</w:t>
            </w:r>
            <w:r w:rsidR="00E06369" w:rsidRPr="005D3B71">
              <w:rPr>
                <w:b/>
                <w:color w:val="auto"/>
              </w:rPr>
              <w:t>ICATOR REF: ENV2a - Net cost of w</w:t>
            </w:r>
            <w:r w:rsidRPr="005D3B71">
              <w:rPr>
                <w:b/>
                <w:color w:val="auto"/>
              </w:rPr>
              <w:t>aste disposal per premises</w:t>
            </w:r>
            <w:bookmarkEnd w:id="39"/>
            <w:r w:rsidR="00CA7DF1" w:rsidRPr="005D3B71">
              <w:rPr>
                <w:b/>
                <w:color w:val="auto"/>
              </w:rPr>
              <w:t xml:space="preserve"> </w:t>
            </w:r>
          </w:p>
        </w:tc>
      </w:tr>
      <w:tr w:rsidR="008F2E9A" w:rsidRPr="004C5A6D" w14:paraId="0B9EDA9B" w14:textId="77777777" w:rsidTr="0010243D">
        <w:trPr>
          <w:trHeight w:val="454"/>
          <w:jc w:val="center"/>
        </w:trPr>
        <w:tc>
          <w:tcPr>
            <w:tcW w:w="15309" w:type="dxa"/>
            <w:gridSpan w:val="4"/>
            <w:vAlign w:val="center"/>
          </w:tcPr>
          <w:p w14:paraId="49B04DA0" w14:textId="756DCFA9" w:rsidR="008F2E9A" w:rsidRPr="00DC5465" w:rsidRDefault="008F2E9A" w:rsidP="000D112E">
            <w:pPr>
              <w:jc w:val="center"/>
              <w:rPr>
                <w:b/>
                <w:color w:val="0070C0"/>
                <w:sz w:val="28"/>
                <w:szCs w:val="28"/>
              </w:rPr>
            </w:pPr>
            <w:r w:rsidRPr="00C577BD">
              <w:rPr>
                <w:b/>
                <w:color w:val="0070C0"/>
                <w:sz w:val="28"/>
                <w:szCs w:val="28"/>
              </w:rPr>
              <w:t xml:space="preserve">Performance </w:t>
            </w:r>
            <w:r w:rsidR="00DC5465">
              <w:rPr>
                <w:b/>
                <w:color w:val="0070C0"/>
                <w:sz w:val="28"/>
                <w:szCs w:val="28"/>
              </w:rPr>
              <w:t xml:space="preserve">Range: </w:t>
            </w:r>
            <w:r w:rsidR="00E62AB6">
              <w:rPr>
                <w:b/>
                <w:color w:val="0070C0"/>
                <w:sz w:val="28"/>
                <w:szCs w:val="28"/>
              </w:rPr>
              <w:t>£</w:t>
            </w:r>
            <w:r w:rsidR="00301A8E">
              <w:rPr>
                <w:b/>
                <w:color w:val="0070C0"/>
                <w:sz w:val="28"/>
                <w:szCs w:val="28"/>
              </w:rPr>
              <w:t>44.69</w:t>
            </w:r>
            <w:r w:rsidR="00E62AB6">
              <w:rPr>
                <w:b/>
                <w:color w:val="0070C0"/>
                <w:sz w:val="28"/>
                <w:szCs w:val="28"/>
              </w:rPr>
              <w:t xml:space="preserve"> to </w:t>
            </w:r>
            <w:r w:rsidR="00BE08CC">
              <w:rPr>
                <w:b/>
                <w:color w:val="0070C0"/>
                <w:sz w:val="28"/>
                <w:szCs w:val="28"/>
              </w:rPr>
              <w:t>£</w:t>
            </w:r>
            <w:r w:rsidR="00301A8E">
              <w:rPr>
                <w:b/>
                <w:color w:val="0070C0"/>
                <w:sz w:val="28"/>
                <w:szCs w:val="28"/>
              </w:rPr>
              <w:t>189.28</w:t>
            </w:r>
            <w:r w:rsidR="00BE08CC">
              <w:rPr>
                <w:b/>
                <w:color w:val="0070C0"/>
                <w:sz w:val="28"/>
                <w:szCs w:val="28"/>
              </w:rPr>
              <w:t xml:space="preserve"> </w:t>
            </w:r>
            <w:r w:rsidR="000E0F6F">
              <w:rPr>
                <w:b/>
                <w:color w:val="0070C0"/>
                <w:sz w:val="28"/>
                <w:szCs w:val="28"/>
              </w:rPr>
              <w:t xml:space="preserve"> </w:t>
            </w:r>
            <w:r w:rsidR="00BE08CC" w:rsidRPr="00BE08CC">
              <w:rPr>
                <w:b/>
                <w:color w:val="0070C0"/>
                <w:sz w:val="28"/>
                <w:szCs w:val="28"/>
              </w:rPr>
              <w:t>(Lowest is best)</w:t>
            </w:r>
          </w:p>
        </w:tc>
      </w:tr>
      <w:tr w:rsidR="004C5A6D" w:rsidRPr="004C5A6D" w14:paraId="7C3E3953" w14:textId="77777777" w:rsidTr="0010243D">
        <w:trPr>
          <w:trHeight w:val="397"/>
          <w:jc w:val="center"/>
        </w:trPr>
        <w:tc>
          <w:tcPr>
            <w:tcW w:w="7366" w:type="dxa"/>
            <w:gridSpan w:val="2"/>
            <w:shd w:val="clear" w:color="auto" w:fill="D9E2F3" w:themeFill="accent5" w:themeFillTint="33"/>
            <w:vAlign w:val="center"/>
          </w:tcPr>
          <w:p w14:paraId="683519DD" w14:textId="77777777" w:rsidR="004C5A6D" w:rsidRPr="004C5A6D" w:rsidRDefault="004C5A6D" w:rsidP="009A329B">
            <w:pPr>
              <w:jc w:val="center"/>
              <w:rPr>
                <w:b/>
                <w:sz w:val="28"/>
                <w:szCs w:val="28"/>
              </w:rPr>
            </w:pPr>
            <w:r w:rsidRPr="004C5A6D">
              <w:rPr>
                <w:b/>
                <w:sz w:val="28"/>
                <w:szCs w:val="28"/>
              </w:rPr>
              <w:t>ARGYLL AND BUTE</w:t>
            </w:r>
          </w:p>
        </w:tc>
        <w:tc>
          <w:tcPr>
            <w:tcW w:w="7943" w:type="dxa"/>
            <w:gridSpan w:val="2"/>
            <w:shd w:val="clear" w:color="auto" w:fill="D9E2F3" w:themeFill="accent5" w:themeFillTint="33"/>
            <w:vAlign w:val="center"/>
          </w:tcPr>
          <w:p w14:paraId="582E1DE8" w14:textId="77777777" w:rsidR="004C5A6D" w:rsidRPr="004C5A6D" w:rsidRDefault="004C5A6D" w:rsidP="009A329B">
            <w:pPr>
              <w:jc w:val="center"/>
              <w:rPr>
                <w:b/>
                <w:sz w:val="28"/>
                <w:szCs w:val="28"/>
              </w:rPr>
            </w:pPr>
            <w:r w:rsidRPr="004C5A6D">
              <w:rPr>
                <w:b/>
                <w:sz w:val="28"/>
                <w:szCs w:val="28"/>
              </w:rPr>
              <w:t>SCOTLAND</w:t>
            </w:r>
          </w:p>
        </w:tc>
      </w:tr>
      <w:tr w:rsidR="004C5A6D" w:rsidRPr="004C5A6D" w14:paraId="25F4386D" w14:textId="77777777" w:rsidTr="0010243D">
        <w:trPr>
          <w:trHeight w:val="397"/>
          <w:jc w:val="center"/>
        </w:trPr>
        <w:tc>
          <w:tcPr>
            <w:tcW w:w="7366" w:type="dxa"/>
            <w:gridSpan w:val="2"/>
            <w:vAlign w:val="center"/>
          </w:tcPr>
          <w:p w14:paraId="7A2A2281" w14:textId="10C47A50" w:rsidR="004C5A6D" w:rsidRPr="004618FC" w:rsidRDefault="000D112E" w:rsidP="009A329B">
            <w:pPr>
              <w:jc w:val="center"/>
              <w:rPr>
                <w:b/>
                <w:sz w:val="28"/>
                <w:szCs w:val="28"/>
              </w:rPr>
            </w:pPr>
            <w:r>
              <w:rPr>
                <w:b/>
                <w:sz w:val="28"/>
                <w:szCs w:val="28"/>
              </w:rPr>
              <w:t>£</w:t>
            </w:r>
            <w:r w:rsidR="00301A8E">
              <w:rPr>
                <w:b/>
                <w:sz w:val="28"/>
                <w:szCs w:val="28"/>
              </w:rPr>
              <w:t>189.28</w:t>
            </w:r>
          </w:p>
        </w:tc>
        <w:tc>
          <w:tcPr>
            <w:tcW w:w="7943" w:type="dxa"/>
            <w:gridSpan w:val="2"/>
            <w:vAlign w:val="center"/>
          </w:tcPr>
          <w:p w14:paraId="3D7AAAB8" w14:textId="122267BA" w:rsidR="004C5A6D" w:rsidRPr="004C5A6D" w:rsidRDefault="000D112E" w:rsidP="009A329B">
            <w:pPr>
              <w:jc w:val="center"/>
              <w:rPr>
                <w:b/>
                <w:sz w:val="28"/>
                <w:szCs w:val="28"/>
              </w:rPr>
            </w:pPr>
            <w:r>
              <w:rPr>
                <w:b/>
                <w:sz w:val="28"/>
                <w:szCs w:val="28"/>
              </w:rPr>
              <w:t>£</w:t>
            </w:r>
            <w:r w:rsidR="00301A8E">
              <w:rPr>
                <w:b/>
                <w:sz w:val="28"/>
                <w:szCs w:val="28"/>
              </w:rPr>
              <w:t>97.37</w:t>
            </w:r>
          </w:p>
        </w:tc>
      </w:tr>
      <w:tr w:rsidR="0010243D" w:rsidRPr="004C5A6D" w14:paraId="4093AADB" w14:textId="77777777" w:rsidTr="0010243D">
        <w:trPr>
          <w:trHeight w:val="397"/>
          <w:jc w:val="center"/>
        </w:trPr>
        <w:tc>
          <w:tcPr>
            <w:tcW w:w="5949" w:type="dxa"/>
            <w:vAlign w:val="center"/>
          </w:tcPr>
          <w:p w14:paraId="25257070" w14:textId="2BB041B6" w:rsidR="0010243D" w:rsidRPr="004618FC" w:rsidRDefault="0010243D" w:rsidP="000D112E">
            <w:pPr>
              <w:jc w:val="center"/>
              <w:rPr>
                <w:b/>
                <w:sz w:val="28"/>
                <w:szCs w:val="28"/>
              </w:rPr>
            </w:pPr>
            <w:r w:rsidRPr="00721B18">
              <w:rPr>
                <w:b/>
                <w:sz w:val="28"/>
                <w:szCs w:val="28"/>
              </w:rPr>
              <w:t>CHANGE 201</w:t>
            </w:r>
            <w:r w:rsidR="000D112E">
              <w:rPr>
                <w:b/>
                <w:sz w:val="28"/>
                <w:szCs w:val="28"/>
              </w:rPr>
              <w:t>7</w:t>
            </w:r>
            <w:r w:rsidRPr="00721B18">
              <w:rPr>
                <w:b/>
                <w:sz w:val="28"/>
                <w:szCs w:val="28"/>
              </w:rPr>
              <w:t>/1</w:t>
            </w:r>
            <w:r w:rsidR="000D112E">
              <w:rPr>
                <w:b/>
                <w:sz w:val="28"/>
                <w:szCs w:val="28"/>
              </w:rPr>
              <w:t>8</w:t>
            </w:r>
            <w:r w:rsidRPr="00721B18">
              <w:rPr>
                <w:b/>
                <w:sz w:val="28"/>
                <w:szCs w:val="28"/>
              </w:rPr>
              <w:t xml:space="preserve"> TO </w:t>
            </w:r>
            <w:r>
              <w:rPr>
                <w:b/>
                <w:sz w:val="28"/>
                <w:szCs w:val="28"/>
              </w:rPr>
              <w:t>201</w:t>
            </w:r>
            <w:r w:rsidR="000D112E">
              <w:rPr>
                <w:b/>
                <w:sz w:val="28"/>
                <w:szCs w:val="28"/>
              </w:rPr>
              <w:t>8</w:t>
            </w:r>
            <w:r>
              <w:rPr>
                <w:b/>
                <w:sz w:val="28"/>
                <w:szCs w:val="28"/>
              </w:rPr>
              <w:t>/1</w:t>
            </w:r>
            <w:r w:rsidR="000D112E">
              <w:rPr>
                <w:b/>
                <w:sz w:val="28"/>
                <w:szCs w:val="28"/>
              </w:rPr>
              <w:t>9</w:t>
            </w:r>
          </w:p>
        </w:tc>
        <w:tc>
          <w:tcPr>
            <w:tcW w:w="1417" w:type="dxa"/>
            <w:vAlign w:val="center"/>
          </w:tcPr>
          <w:p w14:paraId="28572D10" w14:textId="3597C19B" w:rsidR="0010243D" w:rsidRPr="004618FC" w:rsidRDefault="00301A8E" w:rsidP="009A329B">
            <w:pPr>
              <w:jc w:val="center"/>
              <w:rPr>
                <w:b/>
                <w:sz w:val="28"/>
                <w:szCs w:val="28"/>
              </w:rPr>
            </w:pPr>
            <w:r>
              <w:rPr>
                <w:b/>
                <w:sz w:val="28"/>
                <w:szCs w:val="28"/>
              </w:rPr>
              <w:t>0.26</w:t>
            </w:r>
            <w:r w:rsidR="000D112E">
              <w:rPr>
                <w:b/>
                <w:sz w:val="28"/>
                <w:szCs w:val="28"/>
              </w:rPr>
              <w:t>%</w:t>
            </w:r>
            <w:r w:rsidR="00EF7473">
              <w:rPr>
                <w:b/>
                <w:sz w:val="28"/>
                <w:szCs w:val="28"/>
              </w:rPr>
              <w:t xml:space="preserve"> </w:t>
            </w:r>
            <w:r w:rsidR="00EF7473" w:rsidRPr="00C14931">
              <w:rPr>
                <w:b/>
                <w:color w:val="FF0000"/>
                <w:sz w:val="28"/>
                <w:szCs w:val="28"/>
              </w:rPr>
              <w:sym w:font="Wingdings" w:char="F0E9"/>
            </w:r>
          </w:p>
        </w:tc>
        <w:tc>
          <w:tcPr>
            <w:tcW w:w="6237" w:type="dxa"/>
            <w:vAlign w:val="center"/>
          </w:tcPr>
          <w:p w14:paraId="33689761" w14:textId="0EFD449C" w:rsidR="0010243D" w:rsidRDefault="0010243D" w:rsidP="000D112E">
            <w:pPr>
              <w:jc w:val="center"/>
              <w:rPr>
                <w:b/>
                <w:sz w:val="28"/>
                <w:szCs w:val="28"/>
              </w:rPr>
            </w:pPr>
            <w:r>
              <w:rPr>
                <w:sz w:val="28"/>
                <w:szCs w:val="28"/>
              </w:rPr>
              <w:t>CHANGE 201</w:t>
            </w:r>
            <w:r w:rsidR="000D112E">
              <w:rPr>
                <w:sz w:val="28"/>
                <w:szCs w:val="28"/>
              </w:rPr>
              <w:t>7</w:t>
            </w:r>
            <w:r>
              <w:rPr>
                <w:sz w:val="28"/>
                <w:szCs w:val="28"/>
              </w:rPr>
              <w:t>/1</w:t>
            </w:r>
            <w:r w:rsidR="000D112E">
              <w:rPr>
                <w:sz w:val="28"/>
                <w:szCs w:val="28"/>
              </w:rPr>
              <w:t>8</w:t>
            </w:r>
            <w:r>
              <w:rPr>
                <w:sz w:val="28"/>
                <w:szCs w:val="28"/>
              </w:rPr>
              <w:t xml:space="preserve"> TO 201</w:t>
            </w:r>
            <w:r w:rsidR="000D112E">
              <w:rPr>
                <w:sz w:val="28"/>
                <w:szCs w:val="28"/>
              </w:rPr>
              <w:t>8</w:t>
            </w:r>
            <w:r>
              <w:rPr>
                <w:sz w:val="28"/>
                <w:szCs w:val="28"/>
              </w:rPr>
              <w:t>/1</w:t>
            </w:r>
            <w:r w:rsidR="000D112E">
              <w:rPr>
                <w:sz w:val="28"/>
                <w:szCs w:val="28"/>
              </w:rPr>
              <w:t>9</w:t>
            </w:r>
          </w:p>
        </w:tc>
        <w:tc>
          <w:tcPr>
            <w:tcW w:w="1706" w:type="dxa"/>
            <w:vAlign w:val="center"/>
          </w:tcPr>
          <w:p w14:paraId="4E84328A" w14:textId="68907FA5" w:rsidR="0010243D" w:rsidRDefault="00EF7473" w:rsidP="009A329B">
            <w:pPr>
              <w:jc w:val="center"/>
              <w:rPr>
                <w:b/>
                <w:sz w:val="28"/>
                <w:szCs w:val="28"/>
              </w:rPr>
            </w:pPr>
            <w:r>
              <w:rPr>
                <w:sz w:val="28"/>
                <w:szCs w:val="28"/>
              </w:rPr>
              <w:t>-5.72</w:t>
            </w:r>
            <w:r w:rsidR="000D112E">
              <w:rPr>
                <w:sz w:val="28"/>
                <w:szCs w:val="28"/>
              </w:rPr>
              <w:t>%</w:t>
            </w:r>
            <w:r>
              <w:rPr>
                <w:sz w:val="28"/>
                <w:szCs w:val="28"/>
              </w:rPr>
              <w:t xml:space="preserve"> </w:t>
            </w:r>
            <w:r w:rsidRPr="00EC5E64">
              <w:rPr>
                <w:b/>
                <w:color w:val="00B050"/>
                <w:sz w:val="28"/>
                <w:szCs w:val="28"/>
              </w:rPr>
              <w:sym w:font="Wingdings" w:char="F0EA"/>
            </w:r>
          </w:p>
        </w:tc>
      </w:tr>
      <w:tr w:rsidR="0010243D" w:rsidRPr="004C5A6D" w14:paraId="4BA29431" w14:textId="77777777" w:rsidTr="0010243D">
        <w:trPr>
          <w:trHeight w:val="397"/>
          <w:jc w:val="center"/>
        </w:trPr>
        <w:tc>
          <w:tcPr>
            <w:tcW w:w="5949" w:type="dxa"/>
            <w:vAlign w:val="center"/>
          </w:tcPr>
          <w:p w14:paraId="7C0E5B69" w14:textId="39A0E2AA" w:rsidR="0010243D" w:rsidRPr="00721B18" w:rsidRDefault="0010243D" w:rsidP="000D112E">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w:t>
            </w:r>
            <w:r w:rsidR="000D112E">
              <w:rPr>
                <w:b/>
                <w:sz w:val="28"/>
                <w:szCs w:val="28"/>
              </w:rPr>
              <w:t>8</w:t>
            </w:r>
            <w:r>
              <w:rPr>
                <w:b/>
                <w:sz w:val="28"/>
                <w:szCs w:val="28"/>
              </w:rPr>
              <w:t>/1</w:t>
            </w:r>
            <w:r w:rsidR="000D112E">
              <w:rPr>
                <w:b/>
                <w:sz w:val="28"/>
                <w:szCs w:val="28"/>
              </w:rPr>
              <w:t>9</w:t>
            </w:r>
          </w:p>
        </w:tc>
        <w:tc>
          <w:tcPr>
            <w:tcW w:w="1417" w:type="dxa"/>
            <w:vAlign w:val="center"/>
          </w:tcPr>
          <w:p w14:paraId="4DD5D2C4" w14:textId="6ED7AFD4" w:rsidR="0010243D" w:rsidRPr="004618FC" w:rsidRDefault="00301A8E" w:rsidP="009A329B">
            <w:pPr>
              <w:jc w:val="center"/>
              <w:rPr>
                <w:b/>
                <w:sz w:val="28"/>
                <w:szCs w:val="28"/>
              </w:rPr>
            </w:pPr>
            <w:r>
              <w:rPr>
                <w:b/>
                <w:sz w:val="28"/>
                <w:szCs w:val="28"/>
              </w:rPr>
              <w:t>15.24</w:t>
            </w:r>
            <w:r w:rsidR="000D112E">
              <w:rPr>
                <w:b/>
                <w:sz w:val="28"/>
                <w:szCs w:val="28"/>
              </w:rPr>
              <w:t>%</w:t>
            </w:r>
            <w:r w:rsidR="00EF7473">
              <w:rPr>
                <w:b/>
                <w:sz w:val="28"/>
                <w:szCs w:val="28"/>
              </w:rPr>
              <w:t xml:space="preserve"> </w:t>
            </w:r>
            <w:r w:rsidR="00EF7473" w:rsidRPr="00C14931">
              <w:rPr>
                <w:b/>
                <w:color w:val="FF0000"/>
                <w:sz w:val="28"/>
                <w:szCs w:val="28"/>
              </w:rPr>
              <w:sym w:font="Wingdings" w:char="F0E9"/>
            </w:r>
          </w:p>
        </w:tc>
        <w:tc>
          <w:tcPr>
            <w:tcW w:w="6237" w:type="dxa"/>
            <w:tcBorders>
              <w:bottom w:val="single" w:sz="4" w:space="0" w:color="auto"/>
            </w:tcBorders>
            <w:vAlign w:val="center"/>
          </w:tcPr>
          <w:p w14:paraId="1F037A5A" w14:textId="483DAACF" w:rsidR="0010243D" w:rsidRDefault="0010243D" w:rsidP="000D112E">
            <w:pPr>
              <w:jc w:val="center"/>
              <w:rPr>
                <w:sz w:val="28"/>
                <w:szCs w:val="28"/>
              </w:rPr>
            </w:pPr>
            <w:r>
              <w:rPr>
                <w:sz w:val="28"/>
                <w:szCs w:val="28"/>
              </w:rPr>
              <w:t xml:space="preserve">CHANGE </w:t>
            </w:r>
            <w:r w:rsidRPr="00903E39">
              <w:rPr>
                <w:sz w:val="28"/>
                <w:szCs w:val="28"/>
              </w:rPr>
              <w:t xml:space="preserve">BASE YEAR </w:t>
            </w:r>
            <w:r>
              <w:rPr>
                <w:sz w:val="28"/>
                <w:szCs w:val="28"/>
              </w:rPr>
              <w:t>TO 201</w:t>
            </w:r>
            <w:r w:rsidR="000D112E">
              <w:rPr>
                <w:sz w:val="28"/>
                <w:szCs w:val="28"/>
              </w:rPr>
              <w:t>8</w:t>
            </w:r>
            <w:r>
              <w:rPr>
                <w:sz w:val="28"/>
                <w:szCs w:val="28"/>
              </w:rPr>
              <w:t>/1</w:t>
            </w:r>
            <w:r w:rsidR="000D112E">
              <w:rPr>
                <w:sz w:val="28"/>
                <w:szCs w:val="28"/>
              </w:rPr>
              <w:t>9</w:t>
            </w:r>
          </w:p>
        </w:tc>
        <w:tc>
          <w:tcPr>
            <w:tcW w:w="1706" w:type="dxa"/>
            <w:tcBorders>
              <w:bottom w:val="single" w:sz="4" w:space="0" w:color="auto"/>
            </w:tcBorders>
            <w:vAlign w:val="center"/>
          </w:tcPr>
          <w:p w14:paraId="63799DAB" w14:textId="1882D2A9" w:rsidR="0010243D" w:rsidRDefault="00EF7473" w:rsidP="009A329B">
            <w:pPr>
              <w:jc w:val="center"/>
              <w:rPr>
                <w:sz w:val="28"/>
                <w:szCs w:val="28"/>
              </w:rPr>
            </w:pPr>
            <w:r>
              <w:rPr>
                <w:sz w:val="28"/>
                <w:szCs w:val="28"/>
              </w:rPr>
              <w:t>-4.58</w:t>
            </w:r>
            <w:r w:rsidR="000D112E">
              <w:rPr>
                <w:sz w:val="28"/>
                <w:szCs w:val="28"/>
              </w:rPr>
              <w:t>%</w:t>
            </w:r>
            <w:r>
              <w:rPr>
                <w:sz w:val="28"/>
                <w:szCs w:val="28"/>
              </w:rPr>
              <w:t xml:space="preserve"> </w:t>
            </w:r>
            <w:r w:rsidRPr="00EC5E64">
              <w:rPr>
                <w:b/>
                <w:color w:val="00B050"/>
                <w:sz w:val="28"/>
                <w:szCs w:val="28"/>
              </w:rPr>
              <w:sym w:font="Wingdings" w:char="F0EA"/>
            </w:r>
          </w:p>
        </w:tc>
      </w:tr>
      <w:tr w:rsidR="0010243D" w:rsidRPr="004C5A6D" w14:paraId="35FC090B" w14:textId="77777777" w:rsidTr="00B318EA">
        <w:trPr>
          <w:trHeight w:val="397"/>
          <w:jc w:val="center"/>
        </w:trPr>
        <w:tc>
          <w:tcPr>
            <w:tcW w:w="7366" w:type="dxa"/>
            <w:gridSpan w:val="2"/>
            <w:tcBorders>
              <w:bottom w:val="single" w:sz="4" w:space="0" w:color="auto"/>
            </w:tcBorders>
            <w:vAlign w:val="center"/>
          </w:tcPr>
          <w:p w14:paraId="371C0B4C" w14:textId="47B26234" w:rsidR="0010243D" w:rsidRPr="004618FC" w:rsidRDefault="0010243D" w:rsidP="000D112E">
            <w:pPr>
              <w:jc w:val="center"/>
              <w:rPr>
                <w:b/>
                <w:sz w:val="28"/>
                <w:szCs w:val="28"/>
              </w:rPr>
            </w:pPr>
            <w:r w:rsidRPr="004618FC">
              <w:rPr>
                <w:b/>
                <w:sz w:val="28"/>
                <w:szCs w:val="28"/>
              </w:rPr>
              <w:t>RANK POSITION</w:t>
            </w:r>
            <w:r w:rsidRPr="00EF7473">
              <w:rPr>
                <w:b/>
                <w:sz w:val="28"/>
                <w:szCs w:val="28"/>
              </w:rPr>
              <w:t>:</w:t>
            </w:r>
            <w:r w:rsidR="00513443" w:rsidRPr="00EF7473">
              <w:rPr>
                <w:b/>
                <w:sz w:val="28"/>
                <w:szCs w:val="28"/>
              </w:rPr>
              <w:t xml:space="preserve"> </w:t>
            </w:r>
            <w:r w:rsidR="00301A8E" w:rsidRPr="00EF7473">
              <w:rPr>
                <w:b/>
                <w:sz w:val="28"/>
                <w:szCs w:val="28"/>
              </w:rPr>
              <w:t>32</w:t>
            </w:r>
            <w:r w:rsidR="00513443" w:rsidRPr="00EF7473">
              <w:rPr>
                <w:b/>
                <w:sz w:val="28"/>
                <w:szCs w:val="28"/>
              </w:rPr>
              <w:t xml:space="preserve">   </w:t>
            </w:r>
            <w:r w:rsidRPr="004618FC">
              <w:rPr>
                <w:b/>
                <w:sz w:val="28"/>
                <w:szCs w:val="28"/>
              </w:rPr>
              <w:t xml:space="preserve">RANK MOVEMENT: </w:t>
            </w:r>
            <w:r w:rsidR="00301A8E">
              <w:rPr>
                <w:b/>
                <w:sz w:val="28"/>
                <w:szCs w:val="28"/>
              </w:rPr>
              <w:t>0</w:t>
            </w:r>
            <w:r w:rsidR="00EF7473">
              <w:rPr>
                <w:b/>
                <w:sz w:val="28"/>
                <w:szCs w:val="28"/>
              </w:rPr>
              <w:t xml:space="preserve"> </w:t>
            </w:r>
            <w:r w:rsidR="00EF7473" w:rsidRPr="00A83E3B">
              <w:rPr>
                <w:b/>
                <w:color w:val="0070C0"/>
                <w:sz w:val="28"/>
                <w:szCs w:val="28"/>
              </w:rPr>
              <w:sym w:font="Wingdings" w:char="F0E8"/>
            </w:r>
          </w:p>
        </w:tc>
        <w:tc>
          <w:tcPr>
            <w:tcW w:w="7943" w:type="dxa"/>
            <w:gridSpan w:val="2"/>
            <w:tcBorders>
              <w:bottom w:val="nil"/>
            </w:tcBorders>
            <w:shd w:val="clear" w:color="auto" w:fill="D9D9D9" w:themeFill="background1" w:themeFillShade="D9"/>
            <w:vAlign w:val="center"/>
          </w:tcPr>
          <w:p w14:paraId="49EA20E0" w14:textId="77777777" w:rsidR="0010243D" w:rsidRDefault="0010243D" w:rsidP="009A329B">
            <w:pPr>
              <w:jc w:val="center"/>
              <w:rPr>
                <w:sz w:val="28"/>
                <w:szCs w:val="28"/>
              </w:rPr>
            </w:pPr>
          </w:p>
        </w:tc>
      </w:tr>
      <w:tr w:rsidR="0010243D" w:rsidRPr="004C5A6D" w14:paraId="3F8C55CB" w14:textId="77777777" w:rsidTr="00B318EA">
        <w:trPr>
          <w:trHeight w:val="397"/>
          <w:jc w:val="center"/>
        </w:trPr>
        <w:tc>
          <w:tcPr>
            <w:tcW w:w="7366" w:type="dxa"/>
            <w:gridSpan w:val="2"/>
            <w:tcBorders>
              <w:bottom w:val="nil"/>
            </w:tcBorders>
            <w:shd w:val="clear" w:color="auto" w:fill="D9E2F3" w:themeFill="accent5" w:themeFillTint="33"/>
            <w:vAlign w:val="center"/>
          </w:tcPr>
          <w:p w14:paraId="20F3B268" w14:textId="1A64011C" w:rsidR="0010243D" w:rsidRPr="004618FC" w:rsidRDefault="0010243D" w:rsidP="000D112E">
            <w:pPr>
              <w:jc w:val="center"/>
              <w:rPr>
                <w:b/>
                <w:sz w:val="28"/>
                <w:szCs w:val="28"/>
              </w:rPr>
            </w:pPr>
            <w:r>
              <w:rPr>
                <w:b/>
                <w:sz w:val="28"/>
                <w:szCs w:val="28"/>
              </w:rPr>
              <w:t>FAMILY GROUP RANKING 201</w:t>
            </w:r>
            <w:r w:rsidR="000D112E">
              <w:rPr>
                <w:b/>
                <w:sz w:val="28"/>
                <w:szCs w:val="28"/>
              </w:rPr>
              <w:t>8</w:t>
            </w:r>
            <w:r>
              <w:rPr>
                <w:b/>
                <w:sz w:val="28"/>
                <w:szCs w:val="28"/>
              </w:rPr>
              <w:t>/1</w:t>
            </w:r>
            <w:r w:rsidR="000D112E">
              <w:rPr>
                <w:b/>
                <w:sz w:val="28"/>
                <w:szCs w:val="28"/>
              </w:rPr>
              <w:t>9</w:t>
            </w:r>
          </w:p>
        </w:tc>
        <w:tc>
          <w:tcPr>
            <w:tcW w:w="7943" w:type="dxa"/>
            <w:gridSpan w:val="2"/>
            <w:tcBorders>
              <w:top w:val="nil"/>
              <w:bottom w:val="nil"/>
            </w:tcBorders>
            <w:shd w:val="clear" w:color="auto" w:fill="D9D9D9" w:themeFill="background1" w:themeFillShade="D9"/>
            <w:vAlign w:val="center"/>
          </w:tcPr>
          <w:p w14:paraId="400FF73A" w14:textId="77777777" w:rsidR="0010243D" w:rsidRDefault="0010243D" w:rsidP="009A329B">
            <w:pPr>
              <w:jc w:val="center"/>
              <w:rPr>
                <w:sz w:val="28"/>
                <w:szCs w:val="28"/>
              </w:rPr>
            </w:pPr>
          </w:p>
        </w:tc>
      </w:tr>
      <w:tr w:rsidR="0010243D" w:rsidRPr="004C5A6D" w14:paraId="70C60C22" w14:textId="77777777" w:rsidTr="00B318EA">
        <w:trPr>
          <w:trHeight w:val="397"/>
          <w:jc w:val="center"/>
        </w:trPr>
        <w:tc>
          <w:tcPr>
            <w:tcW w:w="7366" w:type="dxa"/>
            <w:gridSpan w:val="2"/>
            <w:tcBorders>
              <w:top w:val="nil"/>
            </w:tcBorders>
            <w:shd w:val="clear" w:color="auto" w:fill="D9E2F3" w:themeFill="accent5" w:themeFillTint="33"/>
            <w:vAlign w:val="center"/>
          </w:tcPr>
          <w:p w14:paraId="05C431E7" w14:textId="216E4BC5" w:rsidR="0010243D" w:rsidRPr="004618FC" w:rsidRDefault="0010243D" w:rsidP="000D112E">
            <w:pPr>
              <w:jc w:val="center"/>
              <w:rPr>
                <w:b/>
                <w:sz w:val="28"/>
                <w:szCs w:val="28"/>
              </w:rPr>
            </w:pPr>
            <w:r>
              <w:rPr>
                <w:b/>
                <w:sz w:val="28"/>
                <w:szCs w:val="28"/>
              </w:rPr>
              <w:t>RANK POSITION:</w:t>
            </w:r>
            <w:r w:rsidR="00301A8E">
              <w:rPr>
                <w:b/>
                <w:sz w:val="28"/>
                <w:szCs w:val="28"/>
              </w:rPr>
              <w:t xml:space="preserve"> 8</w:t>
            </w:r>
            <w:r w:rsidR="00FD1CF1">
              <w:rPr>
                <w:b/>
                <w:sz w:val="28"/>
                <w:szCs w:val="28"/>
              </w:rPr>
              <w:t xml:space="preserve">    </w:t>
            </w:r>
            <w:r>
              <w:rPr>
                <w:b/>
                <w:sz w:val="28"/>
                <w:szCs w:val="28"/>
              </w:rPr>
              <w:t>RANK MOVEMENT:</w:t>
            </w:r>
            <w:r w:rsidR="00301A8E">
              <w:rPr>
                <w:b/>
                <w:sz w:val="28"/>
                <w:szCs w:val="28"/>
              </w:rPr>
              <w:t xml:space="preserve"> 0</w:t>
            </w:r>
            <w:r>
              <w:rPr>
                <w:b/>
                <w:sz w:val="28"/>
                <w:szCs w:val="28"/>
              </w:rPr>
              <w:t xml:space="preserve"> </w:t>
            </w:r>
            <w:r w:rsidR="00EF7473" w:rsidRPr="00A83E3B">
              <w:rPr>
                <w:b/>
                <w:color w:val="0070C0"/>
                <w:sz w:val="28"/>
                <w:szCs w:val="28"/>
              </w:rPr>
              <w:sym w:font="Wingdings" w:char="F0E8"/>
            </w:r>
          </w:p>
        </w:tc>
        <w:tc>
          <w:tcPr>
            <w:tcW w:w="7943" w:type="dxa"/>
            <w:gridSpan w:val="2"/>
            <w:tcBorders>
              <w:top w:val="nil"/>
            </w:tcBorders>
            <w:shd w:val="clear" w:color="auto" w:fill="D9D9D9" w:themeFill="background1" w:themeFillShade="D9"/>
            <w:vAlign w:val="center"/>
          </w:tcPr>
          <w:p w14:paraId="52BB26A3" w14:textId="77777777" w:rsidR="0010243D" w:rsidRDefault="0010243D" w:rsidP="009A329B">
            <w:pPr>
              <w:jc w:val="center"/>
              <w:rPr>
                <w:sz w:val="28"/>
                <w:szCs w:val="28"/>
              </w:rPr>
            </w:pPr>
          </w:p>
        </w:tc>
      </w:tr>
      <w:tr w:rsidR="0010243D" w:rsidRPr="004C5A6D" w14:paraId="1EA0D92B" w14:textId="77777777" w:rsidTr="00D57F40">
        <w:trPr>
          <w:trHeight w:val="397"/>
          <w:jc w:val="center"/>
        </w:trPr>
        <w:tc>
          <w:tcPr>
            <w:tcW w:w="15309" w:type="dxa"/>
            <w:gridSpan w:val="4"/>
            <w:vAlign w:val="center"/>
          </w:tcPr>
          <w:p w14:paraId="78CC7B25" w14:textId="77777777" w:rsidR="0010243D" w:rsidRPr="0010243D" w:rsidRDefault="0010243D" w:rsidP="0010243D">
            <w:pPr>
              <w:rPr>
                <w:b/>
                <w:sz w:val="6"/>
                <w:szCs w:val="6"/>
              </w:rPr>
            </w:pPr>
          </w:p>
          <w:p w14:paraId="579D31F3" w14:textId="77777777" w:rsidR="0010243D" w:rsidRPr="0010243D" w:rsidRDefault="0010243D" w:rsidP="0010243D">
            <w:pPr>
              <w:rPr>
                <w:sz w:val="6"/>
                <w:szCs w:val="6"/>
              </w:rPr>
            </w:pPr>
          </w:p>
          <w:p w14:paraId="44922CB1" w14:textId="77777777" w:rsidR="0010243D" w:rsidRDefault="0010243D" w:rsidP="000F4CDF">
            <w:pPr>
              <w:spacing w:after="120"/>
              <w:rPr>
                <w:b/>
                <w:sz w:val="28"/>
                <w:szCs w:val="28"/>
              </w:rPr>
            </w:pPr>
            <w:r w:rsidRPr="004C5A6D">
              <w:rPr>
                <w:b/>
                <w:sz w:val="28"/>
                <w:szCs w:val="28"/>
              </w:rPr>
              <w:t>TELLING OUR STORY:</w:t>
            </w:r>
          </w:p>
          <w:p w14:paraId="5BFE270D" w14:textId="77B2AEF7" w:rsidR="00DB25A9" w:rsidRPr="00036039" w:rsidRDefault="00DB25A9" w:rsidP="000F4CDF">
            <w:pPr>
              <w:spacing w:after="120"/>
              <w:rPr>
                <w:sz w:val="24"/>
                <w:szCs w:val="24"/>
              </w:rPr>
            </w:pPr>
            <w:r w:rsidRPr="00036039">
              <w:rPr>
                <w:sz w:val="24"/>
                <w:szCs w:val="24"/>
              </w:rPr>
              <w:t>For the fifth consecutive year, Argyll and Bute has ranked 32</w:t>
            </w:r>
            <w:r w:rsidRPr="00036039">
              <w:rPr>
                <w:sz w:val="24"/>
                <w:szCs w:val="24"/>
                <w:vertAlign w:val="superscript"/>
              </w:rPr>
              <w:t>nd</w:t>
            </w:r>
            <w:r w:rsidRPr="00036039">
              <w:rPr>
                <w:sz w:val="24"/>
                <w:szCs w:val="24"/>
              </w:rPr>
              <w:t xml:space="preserve"> for the net cost of waste disposal per premises. </w:t>
            </w:r>
          </w:p>
          <w:p w14:paraId="1D583C90" w14:textId="5D180FAA" w:rsidR="00DB25A9" w:rsidRPr="00036039" w:rsidRDefault="00DB25A9" w:rsidP="000F4CDF">
            <w:pPr>
              <w:spacing w:after="120"/>
              <w:rPr>
                <w:sz w:val="24"/>
                <w:szCs w:val="24"/>
              </w:rPr>
            </w:pPr>
            <w:r w:rsidRPr="00036039">
              <w:rPr>
                <w:sz w:val="24"/>
                <w:szCs w:val="24"/>
              </w:rPr>
              <w:t>Last year's report predicted an increase in costs for this indicator.</w:t>
            </w:r>
          </w:p>
          <w:p w14:paraId="67540DC3" w14:textId="77777777" w:rsidR="0010243D" w:rsidRPr="0010243D" w:rsidRDefault="0010243D" w:rsidP="0010243D">
            <w:pPr>
              <w:rPr>
                <w:rFonts w:ascii="Arial" w:hAnsi="Arial" w:cs="Arial"/>
                <w:szCs w:val="28"/>
              </w:rPr>
            </w:pPr>
          </w:p>
        </w:tc>
      </w:tr>
      <w:tr w:rsidR="0010243D" w:rsidRPr="004C5A6D" w14:paraId="387478D7" w14:textId="77777777" w:rsidTr="00D57F40">
        <w:trPr>
          <w:trHeight w:val="397"/>
          <w:jc w:val="center"/>
        </w:trPr>
        <w:tc>
          <w:tcPr>
            <w:tcW w:w="15309" w:type="dxa"/>
            <w:gridSpan w:val="4"/>
            <w:vAlign w:val="center"/>
          </w:tcPr>
          <w:p w14:paraId="1316DE4A" w14:textId="77777777" w:rsidR="0010243D" w:rsidRPr="000D112E" w:rsidRDefault="0010243D" w:rsidP="00D57F40">
            <w:pPr>
              <w:rPr>
                <w:rFonts w:ascii="Arial" w:hAnsi="Arial" w:cs="Arial"/>
                <w:sz w:val="6"/>
                <w:szCs w:val="6"/>
              </w:rPr>
            </w:pPr>
          </w:p>
          <w:p w14:paraId="6F5A742D" w14:textId="77777777" w:rsidR="0010243D" w:rsidRPr="004C5A6D" w:rsidRDefault="0010243D" w:rsidP="00D57F40">
            <w:pPr>
              <w:rPr>
                <w:b/>
                <w:sz w:val="28"/>
                <w:szCs w:val="28"/>
              </w:rPr>
            </w:pPr>
            <w:r>
              <w:rPr>
                <w:b/>
                <w:sz w:val="28"/>
                <w:szCs w:val="28"/>
              </w:rPr>
              <w:t>LOOKING FORWARD - EXPECTED IMPACT ON INDICATOR</w:t>
            </w:r>
            <w:r w:rsidRPr="004C5A6D">
              <w:rPr>
                <w:b/>
                <w:sz w:val="28"/>
                <w:szCs w:val="28"/>
              </w:rPr>
              <w:t>:</w:t>
            </w:r>
          </w:p>
          <w:p w14:paraId="3A905C42" w14:textId="77777777" w:rsidR="0010243D" w:rsidRDefault="0010243D" w:rsidP="000D112E">
            <w:pPr>
              <w:rPr>
                <w:rFonts w:ascii="Arial" w:hAnsi="Arial" w:cs="Arial"/>
                <w:szCs w:val="28"/>
              </w:rPr>
            </w:pPr>
          </w:p>
          <w:p w14:paraId="713F4897" w14:textId="77777777" w:rsidR="003F00D3" w:rsidRPr="0012275C" w:rsidRDefault="003F00D3" w:rsidP="003F00D3">
            <w:pPr>
              <w:rPr>
                <w:sz w:val="24"/>
                <w:szCs w:val="24"/>
              </w:rPr>
            </w:pPr>
            <w:r>
              <w:rPr>
                <w:sz w:val="24"/>
                <w:szCs w:val="24"/>
              </w:rPr>
              <w:t>Due to the unique nature of Argyll and Bute, waste collection and disposal costs in the council area are the most expensive across all 32 Scottish councils. This is due in part to the geography, 23 inhabited islands and the 25 year PPP contract for waste disposal. Through the council’s Waste Strategy we are currently looking at the most cost effective compliant solution to enable the council to comply with Scottish Government’s 2025 Biodegradable Municipal Waste ban. The Deposit Return Scheme which will remove higher value recyclable materials from the recycling stream is likely to have a further negative impact on net costs.</w:t>
            </w:r>
          </w:p>
          <w:p w14:paraId="1542A303" w14:textId="77777777" w:rsidR="003F00D3" w:rsidRPr="0010243D" w:rsidRDefault="003F00D3" w:rsidP="000D112E">
            <w:pPr>
              <w:rPr>
                <w:rFonts w:ascii="Arial" w:hAnsi="Arial" w:cs="Arial"/>
                <w:szCs w:val="28"/>
              </w:rPr>
            </w:pPr>
          </w:p>
        </w:tc>
      </w:tr>
    </w:tbl>
    <w:p w14:paraId="0782B46B" w14:textId="77777777" w:rsidR="00D20E31" w:rsidRDefault="00D20E31">
      <w:r>
        <w:br w:type="page"/>
      </w:r>
    </w:p>
    <w:tbl>
      <w:tblPr>
        <w:tblStyle w:val="TableGrid3"/>
        <w:tblW w:w="15309" w:type="dxa"/>
        <w:jc w:val="center"/>
        <w:tblLook w:val="04A0" w:firstRow="1" w:lastRow="0" w:firstColumn="1" w:lastColumn="0" w:noHBand="0" w:noVBand="1"/>
      </w:tblPr>
      <w:tblGrid>
        <w:gridCol w:w="5949"/>
        <w:gridCol w:w="1417"/>
        <w:gridCol w:w="6237"/>
        <w:gridCol w:w="1706"/>
      </w:tblGrid>
      <w:tr w:rsidR="00912400" w:rsidRPr="005D65E6" w14:paraId="13D45432" w14:textId="77777777" w:rsidTr="00912400">
        <w:trPr>
          <w:trHeight w:val="794"/>
          <w:jc w:val="center"/>
        </w:trPr>
        <w:tc>
          <w:tcPr>
            <w:tcW w:w="15309" w:type="dxa"/>
            <w:gridSpan w:val="4"/>
            <w:vAlign w:val="center"/>
          </w:tcPr>
          <w:p w14:paraId="449E9C05" w14:textId="3D3778A6" w:rsidR="00912400" w:rsidRPr="005D65E6" w:rsidRDefault="00912400" w:rsidP="00473295">
            <w:pPr>
              <w:rPr>
                <w:b/>
                <w:sz w:val="32"/>
              </w:rPr>
            </w:pPr>
            <w:r w:rsidRPr="005D65E6">
              <w:rPr>
                <w:b/>
                <w:sz w:val="32"/>
              </w:rPr>
              <w:lastRenderedPageBreak/>
              <w:t xml:space="preserve">SERVICE: </w:t>
            </w:r>
            <w:r w:rsidR="00473295" w:rsidRPr="005D65E6">
              <w:rPr>
                <w:b/>
                <w:sz w:val="32"/>
              </w:rPr>
              <w:t xml:space="preserve">ROADS AND </w:t>
            </w:r>
            <w:r w:rsidR="00473295">
              <w:rPr>
                <w:b/>
                <w:sz w:val="32"/>
              </w:rPr>
              <w:t>INFRASTRUCTURE</w:t>
            </w:r>
          </w:p>
        </w:tc>
      </w:tr>
      <w:tr w:rsidR="004C5A6D" w:rsidRPr="005D3B71" w14:paraId="70A08491" w14:textId="77777777" w:rsidTr="00EB3781">
        <w:trPr>
          <w:trHeight w:val="567"/>
          <w:jc w:val="center"/>
        </w:trPr>
        <w:tc>
          <w:tcPr>
            <w:tcW w:w="15309" w:type="dxa"/>
            <w:gridSpan w:val="4"/>
            <w:vAlign w:val="center"/>
          </w:tcPr>
          <w:p w14:paraId="53AEB69D" w14:textId="77777777" w:rsidR="004C5A6D" w:rsidRPr="005D3B71" w:rsidRDefault="004C5A6D" w:rsidP="009A329B">
            <w:pPr>
              <w:pStyle w:val="Heading1"/>
              <w:spacing w:before="0"/>
              <w:outlineLvl w:val="0"/>
              <w:rPr>
                <w:b/>
                <w:color w:val="auto"/>
              </w:rPr>
            </w:pPr>
            <w:bookmarkStart w:id="40" w:name="_Toc56757718"/>
            <w:r w:rsidRPr="005D3B71">
              <w:rPr>
                <w:b/>
                <w:color w:val="auto"/>
              </w:rPr>
              <w:t>INDICATOR R</w:t>
            </w:r>
            <w:r w:rsidR="00E06E41" w:rsidRPr="005D3B71">
              <w:rPr>
                <w:b/>
                <w:color w:val="auto"/>
              </w:rPr>
              <w:t>EF: ENV3c - Cleanliness Score (Percent</w:t>
            </w:r>
            <w:r w:rsidRPr="005D3B71">
              <w:rPr>
                <w:b/>
                <w:color w:val="auto"/>
              </w:rPr>
              <w:t>age Acceptable)</w:t>
            </w:r>
            <w:bookmarkEnd w:id="40"/>
            <w:r w:rsidR="00CA7DF1" w:rsidRPr="005D3B71">
              <w:rPr>
                <w:b/>
                <w:color w:val="auto"/>
              </w:rPr>
              <w:t xml:space="preserve"> </w:t>
            </w:r>
          </w:p>
        </w:tc>
      </w:tr>
      <w:tr w:rsidR="00E06E41" w:rsidRPr="004C5A6D" w14:paraId="078AFA98" w14:textId="77777777" w:rsidTr="00EB3781">
        <w:trPr>
          <w:trHeight w:val="454"/>
          <w:jc w:val="center"/>
        </w:trPr>
        <w:tc>
          <w:tcPr>
            <w:tcW w:w="15309" w:type="dxa"/>
            <w:gridSpan w:val="4"/>
            <w:vAlign w:val="center"/>
          </w:tcPr>
          <w:p w14:paraId="590A9F38" w14:textId="2017F9D5" w:rsidR="00E06E41" w:rsidRPr="00DC5465" w:rsidRDefault="00E06E41" w:rsidP="00301A8E">
            <w:pPr>
              <w:jc w:val="center"/>
              <w:rPr>
                <w:b/>
                <w:color w:val="0070C0"/>
                <w:sz w:val="28"/>
                <w:szCs w:val="28"/>
              </w:rPr>
            </w:pPr>
            <w:r w:rsidRPr="00C577BD">
              <w:rPr>
                <w:b/>
                <w:color w:val="0070C0"/>
                <w:sz w:val="28"/>
                <w:szCs w:val="28"/>
              </w:rPr>
              <w:t>Performance Range:</w:t>
            </w:r>
            <w:r w:rsidR="00DC5465" w:rsidRPr="004C7782">
              <w:rPr>
                <w:b/>
                <w:color w:val="0070C0"/>
                <w:sz w:val="28"/>
                <w:szCs w:val="28"/>
              </w:rPr>
              <w:t xml:space="preserve"> </w:t>
            </w:r>
            <w:r w:rsidR="00301A8E">
              <w:rPr>
                <w:b/>
                <w:color w:val="0070C0"/>
                <w:sz w:val="28"/>
                <w:szCs w:val="28"/>
              </w:rPr>
              <w:t>86.70</w:t>
            </w:r>
            <w:r w:rsidR="00DC5465">
              <w:rPr>
                <w:b/>
                <w:color w:val="0070C0"/>
                <w:sz w:val="28"/>
                <w:szCs w:val="28"/>
              </w:rPr>
              <w:t xml:space="preserve"> to </w:t>
            </w:r>
            <w:r w:rsidR="00301A8E">
              <w:rPr>
                <w:b/>
                <w:color w:val="0070C0"/>
                <w:sz w:val="28"/>
                <w:szCs w:val="28"/>
              </w:rPr>
              <w:t>10</w:t>
            </w:r>
            <w:r w:rsidR="004B3E94">
              <w:rPr>
                <w:b/>
                <w:color w:val="0070C0"/>
                <w:sz w:val="28"/>
                <w:szCs w:val="28"/>
              </w:rPr>
              <w:t xml:space="preserve">0.00 </w:t>
            </w:r>
            <w:r w:rsidR="005E2139">
              <w:rPr>
                <w:b/>
                <w:color w:val="0070C0"/>
                <w:sz w:val="28"/>
                <w:szCs w:val="28"/>
              </w:rPr>
              <w:t xml:space="preserve"> </w:t>
            </w:r>
            <w:r w:rsidR="005E2139" w:rsidRPr="005E2139">
              <w:rPr>
                <w:b/>
                <w:color w:val="0070C0"/>
                <w:sz w:val="28"/>
                <w:szCs w:val="28"/>
              </w:rPr>
              <w:t>(Highest is best)</w:t>
            </w:r>
          </w:p>
        </w:tc>
      </w:tr>
      <w:tr w:rsidR="004C5A6D" w:rsidRPr="004C5A6D" w14:paraId="205267C0" w14:textId="77777777" w:rsidTr="00E83409">
        <w:trPr>
          <w:trHeight w:val="397"/>
          <w:jc w:val="center"/>
        </w:trPr>
        <w:tc>
          <w:tcPr>
            <w:tcW w:w="7366" w:type="dxa"/>
            <w:gridSpan w:val="2"/>
            <w:shd w:val="clear" w:color="auto" w:fill="D9E2F3" w:themeFill="accent5" w:themeFillTint="33"/>
            <w:vAlign w:val="center"/>
          </w:tcPr>
          <w:p w14:paraId="79BC4520" w14:textId="77777777" w:rsidR="004C5A6D" w:rsidRPr="004C5A6D" w:rsidRDefault="004C5A6D" w:rsidP="009A329B">
            <w:pPr>
              <w:jc w:val="center"/>
              <w:rPr>
                <w:b/>
                <w:sz w:val="28"/>
                <w:szCs w:val="28"/>
              </w:rPr>
            </w:pPr>
            <w:r w:rsidRPr="004C5A6D">
              <w:rPr>
                <w:b/>
                <w:sz w:val="28"/>
                <w:szCs w:val="28"/>
              </w:rPr>
              <w:t>ARGYLL AND BUTE</w:t>
            </w:r>
          </w:p>
        </w:tc>
        <w:tc>
          <w:tcPr>
            <w:tcW w:w="7943" w:type="dxa"/>
            <w:gridSpan w:val="2"/>
            <w:shd w:val="clear" w:color="auto" w:fill="D9E2F3" w:themeFill="accent5" w:themeFillTint="33"/>
            <w:vAlign w:val="center"/>
          </w:tcPr>
          <w:p w14:paraId="46B4C766" w14:textId="77777777" w:rsidR="004C5A6D" w:rsidRPr="004C5A6D" w:rsidRDefault="004C5A6D" w:rsidP="009A329B">
            <w:pPr>
              <w:jc w:val="center"/>
              <w:rPr>
                <w:b/>
                <w:sz w:val="28"/>
                <w:szCs w:val="28"/>
              </w:rPr>
            </w:pPr>
            <w:r w:rsidRPr="004C5A6D">
              <w:rPr>
                <w:b/>
                <w:sz w:val="28"/>
                <w:szCs w:val="28"/>
              </w:rPr>
              <w:t>SCOTLAND</w:t>
            </w:r>
          </w:p>
        </w:tc>
      </w:tr>
      <w:tr w:rsidR="004C5A6D" w:rsidRPr="004C5A6D" w14:paraId="1EF19873" w14:textId="77777777" w:rsidTr="00EB3781">
        <w:trPr>
          <w:trHeight w:val="397"/>
          <w:jc w:val="center"/>
        </w:trPr>
        <w:tc>
          <w:tcPr>
            <w:tcW w:w="7366" w:type="dxa"/>
            <w:gridSpan w:val="2"/>
            <w:vAlign w:val="center"/>
          </w:tcPr>
          <w:p w14:paraId="14630679" w14:textId="4636AD77" w:rsidR="004B3E94" w:rsidRPr="000C25E0" w:rsidRDefault="00301A8E" w:rsidP="004B3E94">
            <w:pPr>
              <w:jc w:val="center"/>
              <w:rPr>
                <w:b/>
                <w:sz w:val="28"/>
                <w:szCs w:val="28"/>
              </w:rPr>
            </w:pPr>
            <w:r>
              <w:rPr>
                <w:b/>
                <w:sz w:val="28"/>
                <w:szCs w:val="28"/>
              </w:rPr>
              <w:t>92.30</w:t>
            </w:r>
          </w:p>
        </w:tc>
        <w:tc>
          <w:tcPr>
            <w:tcW w:w="7943" w:type="dxa"/>
            <w:gridSpan w:val="2"/>
            <w:vAlign w:val="center"/>
          </w:tcPr>
          <w:p w14:paraId="35FBFBA4" w14:textId="52070219" w:rsidR="004C5A6D" w:rsidRPr="004C5A6D" w:rsidRDefault="00301A8E" w:rsidP="004B3E94">
            <w:pPr>
              <w:jc w:val="center"/>
              <w:rPr>
                <w:b/>
                <w:sz w:val="28"/>
                <w:szCs w:val="28"/>
              </w:rPr>
            </w:pPr>
            <w:r>
              <w:rPr>
                <w:b/>
                <w:sz w:val="28"/>
                <w:szCs w:val="28"/>
              </w:rPr>
              <w:t>92.8</w:t>
            </w:r>
          </w:p>
        </w:tc>
      </w:tr>
      <w:tr w:rsidR="00EB3781" w:rsidRPr="004C5A6D" w14:paraId="70795DF7" w14:textId="77777777" w:rsidTr="00EB3781">
        <w:trPr>
          <w:trHeight w:val="397"/>
          <w:jc w:val="center"/>
        </w:trPr>
        <w:tc>
          <w:tcPr>
            <w:tcW w:w="5949" w:type="dxa"/>
            <w:vAlign w:val="center"/>
          </w:tcPr>
          <w:p w14:paraId="35722D66" w14:textId="1BF6C59C" w:rsidR="00EB3781" w:rsidRPr="000C25E0" w:rsidRDefault="00EB3781" w:rsidP="004B3E94">
            <w:pPr>
              <w:jc w:val="center"/>
              <w:rPr>
                <w:b/>
                <w:sz w:val="28"/>
                <w:szCs w:val="28"/>
              </w:rPr>
            </w:pPr>
            <w:r w:rsidRPr="00721B18">
              <w:rPr>
                <w:b/>
                <w:sz w:val="28"/>
                <w:szCs w:val="28"/>
              </w:rPr>
              <w:t>CHANGE 201</w:t>
            </w:r>
            <w:r w:rsidR="004B3E94">
              <w:rPr>
                <w:b/>
                <w:sz w:val="28"/>
                <w:szCs w:val="28"/>
              </w:rPr>
              <w:t>7</w:t>
            </w:r>
            <w:r w:rsidRPr="00721B18">
              <w:rPr>
                <w:b/>
                <w:sz w:val="28"/>
                <w:szCs w:val="28"/>
              </w:rPr>
              <w:t>/1</w:t>
            </w:r>
            <w:r w:rsidR="004B3E94">
              <w:rPr>
                <w:b/>
                <w:sz w:val="28"/>
                <w:szCs w:val="28"/>
              </w:rPr>
              <w:t>8</w:t>
            </w:r>
            <w:r w:rsidRPr="00721B18">
              <w:rPr>
                <w:b/>
                <w:sz w:val="28"/>
                <w:szCs w:val="28"/>
              </w:rPr>
              <w:t xml:space="preserve"> TO </w:t>
            </w:r>
            <w:r>
              <w:rPr>
                <w:b/>
                <w:sz w:val="28"/>
                <w:szCs w:val="28"/>
              </w:rPr>
              <w:t>201</w:t>
            </w:r>
            <w:r w:rsidR="004B3E94">
              <w:rPr>
                <w:b/>
                <w:sz w:val="28"/>
                <w:szCs w:val="28"/>
              </w:rPr>
              <w:t>8</w:t>
            </w:r>
            <w:r>
              <w:rPr>
                <w:b/>
                <w:sz w:val="28"/>
                <w:szCs w:val="28"/>
              </w:rPr>
              <w:t>/1</w:t>
            </w:r>
            <w:r w:rsidR="004B3E94">
              <w:rPr>
                <w:b/>
                <w:sz w:val="28"/>
                <w:szCs w:val="28"/>
              </w:rPr>
              <w:t>9</w:t>
            </w:r>
          </w:p>
        </w:tc>
        <w:tc>
          <w:tcPr>
            <w:tcW w:w="1417" w:type="dxa"/>
            <w:vAlign w:val="center"/>
          </w:tcPr>
          <w:p w14:paraId="78446FAD" w14:textId="73645C7B" w:rsidR="00EB3781" w:rsidRPr="000C25E0" w:rsidRDefault="00301A8E" w:rsidP="009A329B">
            <w:pPr>
              <w:jc w:val="center"/>
              <w:rPr>
                <w:b/>
                <w:sz w:val="28"/>
                <w:szCs w:val="28"/>
              </w:rPr>
            </w:pPr>
            <w:r>
              <w:rPr>
                <w:b/>
                <w:sz w:val="28"/>
                <w:szCs w:val="28"/>
              </w:rPr>
              <w:t>-1.33</w:t>
            </w:r>
            <w:r w:rsidR="004B3E94">
              <w:rPr>
                <w:b/>
                <w:sz w:val="28"/>
                <w:szCs w:val="28"/>
              </w:rPr>
              <w:t>%</w:t>
            </w:r>
            <w:r w:rsidR="007C6385">
              <w:rPr>
                <w:b/>
                <w:sz w:val="28"/>
                <w:szCs w:val="28"/>
              </w:rPr>
              <w:t xml:space="preserve"> </w:t>
            </w:r>
            <w:r w:rsidR="007C6385" w:rsidRPr="00C14931">
              <w:rPr>
                <w:b/>
                <w:color w:val="FF0000"/>
                <w:sz w:val="28"/>
                <w:szCs w:val="28"/>
              </w:rPr>
              <w:sym w:font="Wingdings" w:char="F0EA"/>
            </w:r>
          </w:p>
        </w:tc>
        <w:tc>
          <w:tcPr>
            <w:tcW w:w="6237" w:type="dxa"/>
            <w:vAlign w:val="center"/>
          </w:tcPr>
          <w:p w14:paraId="747D46F1" w14:textId="546022A6" w:rsidR="00EB3781" w:rsidRDefault="00EB3781" w:rsidP="004B3E94">
            <w:pPr>
              <w:jc w:val="center"/>
              <w:rPr>
                <w:b/>
                <w:sz w:val="28"/>
                <w:szCs w:val="28"/>
              </w:rPr>
            </w:pPr>
            <w:r>
              <w:rPr>
                <w:sz w:val="28"/>
                <w:szCs w:val="28"/>
              </w:rPr>
              <w:t>CHANGE 201</w:t>
            </w:r>
            <w:r w:rsidR="004B3E94">
              <w:rPr>
                <w:sz w:val="28"/>
                <w:szCs w:val="28"/>
              </w:rPr>
              <w:t>7</w:t>
            </w:r>
            <w:r>
              <w:rPr>
                <w:sz w:val="28"/>
                <w:szCs w:val="28"/>
              </w:rPr>
              <w:t>/1</w:t>
            </w:r>
            <w:r w:rsidR="004B3E94">
              <w:rPr>
                <w:sz w:val="28"/>
                <w:szCs w:val="28"/>
              </w:rPr>
              <w:t>8</w:t>
            </w:r>
            <w:r>
              <w:rPr>
                <w:sz w:val="28"/>
                <w:szCs w:val="28"/>
              </w:rPr>
              <w:t xml:space="preserve"> TO 201</w:t>
            </w:r>
            <w:r w:rsidR="004B3E94">
              <w:rPr>
                <w:sz w:val="28"/>
                <w:szCs w:val="28"/>
              </w:rPr>
              <w:t>8</w:t>
            </w:r>
            <w:r>
              <w:rPr>
                <w:sz w:val="28"/>
                <w:szCs w:val="28"/>
              </w:rPr>
              <w:t>/1</w:t>
            </w:r>
            <w:r w:rsidR="004B3E94">
              <w:rPr>
                <w:sz w:val="28"/>
                <w:szCs w:val="28"/>
              </w:rPr>
              <w:t>9</w:t>
            </w:r>
          </w:p>
        </w:tc>
        <w:tc>
          <w:tcPr>
            <w:tcW w:w="1706" w:type="dxa"/>
            <w:vAlign w:val="center"/>
          </w:tcPr>
          <w:p w14:paraId="05177893" w14:textId="2AA372E2" w:rsidR="00EB3781" w:rsidRDefault="007C6385" w:rsidP="009A329B">
            <w:pPr>
              <w:jc w:val="center"/>
              <w:rPr>
                <w:b/>
                <w:sz w:val="28"/>
                <w:szCs w:val="28"/>
              </w:rPr>
            </w:pPr>
            <w:r>
              <w:rPr>
                <w:sz w:val="28"/>
                <w:szCs w:val="28"/>
              </w:rPr>
              <w:t>0.65</w:t>
            </w:r>
            <w:r w:rsidR="004B3E94">
              <w:rPr>
                <w:sz w:val="28"/>
                <w:szCs w:val="28"/>
              </w:rPr>
              <w:t>%</w:t>
            </w:r>
            <w:r>
              <w:rPr>
                <w:sz w:val="28"/>
                <w:szCs w:val="28"/>
              </w:rPr>
              <w:t xml:space="preserve"> </w:t>
            </w:r>
            <w:r w:rsidRPr="00EC5E64">
              <w:rPr>
                <w:b/>
                <w:color w:val="00B050"/>
                <w:sz w:val="28"/>
                <w:szCs w:val="28"/>
              </w:rPr>
              <w:sym w:font="Wingdings" w:char="F0E9"/>
            </w:r>
          </w:p>
        </w:tc>
      </w:tr>
      <w:tr w:rsidR="00EB3781" w:rsidRPr="004C5A6D" w14:paraId="5C76A3C1" w14:textId="77777777" w:rsidTr="00BB4C90">
        <w:trPr>
          <w:trHeight w:val="397"/>
          <w:jc w:val="center"/>
        </w:trPr>
        <w:tc>
          <w:tcPr>
            <w:tcW w:w="5949" w:type="dxa"/>
            <w:vAlign w:val="center"/>
          </w:tcPr>
          <w:p w14:paraId="7B16C044" w14:textId="5968BB02" w:rsidR="00EB3781" w:rsidRPr="00721B18" w:rsidRDefault="00EB3781" w:rsidP="004B3E94">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w:t>
            </w:r>
            <w:r w:rsidR="004B3E94">
              <w:rPr>
                <w:b/>
                <w:sz w:val="28"/>
                <w:szCs w:val="28"/>
              </w:rPr>
              <w:t>8</w:t>
            </w:r>
            <w:r>
              <w:rPr>
                <w:b/>
                <w:sz w:val="28"/>
                <w:szCs w:val="28"/>
              </w:rPr>
              <w:t>/1</w:t>
            </w:r>
            <w:r w:rsidR="004B3E94">
              <w:rPr>
                <w:b/>
                <w:sz w:val="28"/>
                <w:szCs w:val="28"/>
              </w:rPr>
              <w:t>9</w:t>
            </w:r>
          </w:p>
        </w:tc>
        <w:tc>
          <w:tcPr>
            <w:tcW w:w="1417" w:type="dxa"/>
            <w:vAlign w:val="center"/>
          </w:tcPr>
          <w:p w14:paraId="32DAF481" w14:textId="72AF2A5A" w:rsidR="00EB3781" w:rsidRPr="000C25E0" w:rsidRDefault="00301A8E" w:rsidP="009A329B">
            <w:pPr>
              <w:jc w:val="center"/>
              <w:rPr>
                <w:b/>
                <w:sz w:val="28"/>
                <w:szCs w:val="28"/>
              </w:rPr>
            </w:pPr>
            <w:r>
              <w:rPr>
                <w:b/>
                <w:sz w:val="28"/>
                <w:szCs w:val="28"/>
              </w:rPr>
              <w:t>-5.82</w:t>
            </w:r>
            <w:r w:rsidR="004B3E94">
              <w:rPr>
                <w:b/>
                <w:sz w:val="28"/>
                <w:szCs w:val="28"/>
              </w:rPr>
              <w:t>%</w:t>
            </w:r>
            <w:r w:rsidR="007C6385">
              <w:rPr>
                <w:b/>
                <w:sz w:val="28"/>
                <w:szCs w:val="28"/>
              </w:rPr>
              <w:t xml:space="preserve"> </w:t>
            </w:r>
            <w:r w:rsidR="007C6385" w:rsidRPr="00C14931">
              <w:rPr>
                <w:b/>
                <w:color w:val="FF0000"/>
                <w:sz w:val="28"/>
                <w:szCs w:val="28"/>
              </w:rPr>
              <w:sym w:font="Wingdings" w:char="F0EA"/>
            </w:r>
          </w:p>
        </w:tc>
        <w:tc>
          <w:tcPr>
            <w:tcW w:w="6237" w:type="dxa"/>
            <w:tcBorders>
              <w:bottom w:val="single" w:sz="4" w:space="0" w:color="auto"/>
            </w:tcBorders>
            <w:vAlign w:val="center"/>
          </w:tcPr>
          <w:p w14:paraId="14E2BFD3" w14:textId="1DB2D25F" w:rsidR="00EB3781" w:rsidRDefault="00EB3781" w:rsidP="004B3E94">
            <w:pPr>
              <w:jc w:val="center"/>
              <w:rPr>
                <w:sz w:val="28"/>
                <w:szCs w:val="28"/>
              </w:rPr>
            </w:pPr>
            <w:r>
              <w:rPr>
                <w:sz w:val="28"/>
                <w:szCs w:val="28"/>
              </w:rPr>
              <w:t xml:space="preserve">CHANGE </w:t>
            </w:r>
            <w:r w:rsidRPr="00903E39">
              <w:rPr>
                <w:sz w:val="28"/>
                <w:szCs w:val="28"/>
              </w:rPr>
              <w:t xml:space="preserve">BASE YEAR </w:t>
            </w:r>
            <w:r>
              <w:rPr>
                <w:sz w:val="28"/>
                <w:szCs w:val="28"/>
              </w:rPr>
              <w:t>TO 201</w:t>
            </w:r>
            <w:r w:rsidR="004B3E94">
              <w:rPr>
                <w:sz w:val="28"/>
                <w:szCs w:val="28"/>
              </w:rPr>
              <w:t>8</w:t>
            </w:r>
            <w:r>
              <w:rPr>
                <w:sz w:val="28"/>
                <w:szCs w:val="28"/>
              </w:rPr>
              <w:t>/1</w:t>
            </w:r>
            <w:r w:rsidR="004B3E94">
              <w:rPr>
                <w:sz w:val="28"/>
                <w:szCs w:val="28"/>
              </w:rPr>
              <w:t>9</w:t>
            </w:r>
          </w:p>
        </w:tc>
        <w:tc>
          <w:tcPr>
            <w:tcW w:w="1706" w:type="dxa"/>
            <w:tcBorders>
              <w:bottom w:val="single" w:sz="4" w:space="0" w:color="auto"/>
            </w:tcBorders>
            <w:vAlign w:val="center"/>
          </w:tcPr>
          <w:p w14:paraId="59E5B5A7" w14:textId="7A79DF51" w:rsidR="00EB3781" w:rsidRDefault="007C6385" w:rsidP="009A329B">
            <w:pPr>
              <w:jc w:val="center"/>
              <w:rPr>
                <w:sz w:val="28"/>
                <w:szCs w:val="28"/>
              </w:rPr>
            </w:pPr>
            <w:r>
              <w:rPr>
                <w:sz w:val="28"/>
                <w:szCs w:val="28"/>
              </w:rPr>
              <w:t>-2.72</w:t>
            </w:r>
            <w:r w:rsidR="004B3E94">
              <w:rPr>
                <w:sz w:val="28"/>
                <w:szCs w:val="28"/>
              </w:rPr>
              <w:t>%</w:t>
            </w:r>
            <w:r>
              <w:rPr>
                <w:sz w:val="28"/>
                <w:szCs w:val="28"/>
              </w:rPr>
              <w:t xml:space="preserve"> </w:t>
            </w:r>
            <w:r w:rsidRPr="00C14931">
              <w:rPr>
                <w:b/>
                <w:color w:val="FF0000"/>
                <w:sz w:val="28"/>
                <w:szCs w:val="28"/>
              </w:rPr>
              <w:sym w:font="Wingdings" w:char="F0EA"/>
            </w:r>
          </w:p>
        </w:tc>
      </w:tr>
      <w:tr w:rsidR="00EB3781" w:rsidRPr="004C5A6D" w14:paraId="6BC35938" w14:textId="77777777" w:rsidTr="00B318EA">
        <w:trPr>
          <w:trHeight w:val="397"/>
          <w:jc w:val="center"/>
        </w:trPr>
        <w:tc>
          <w:tcPr>
            <w:tcW w:w="7366" w:type="dxa"/>
            <w:gridSpan w:val="2"/>
            <w:tcBorders>
              <w:bottom w:val="single" w:sz="4" w:space="0" w:color="auto"/>
            </w:tcBorders>
            <w:vAlign w:val="center"/>
          </w:tcPr>
          <w:p w14:paraId="4E750605" w14:textId="44F8ACEA" w:rsidR="00EB3781" w:rsidRPr="000C25E0" w:rsidRDefault="00EB3781" w:rsidP="004B3E94">
            <w:pPr>
              <w:jc w:val="center"/>
              <w:rPr>
                <w:b/>
                <w:sz w:val="28"/>
                <w:szCs w:val="28"/>
              </w:rPr>
            </w:pPr>
            <w:r w:rsidRPr="000C25E0">
              <w:rPr>
                <w:b/>
                <w:sz w:val="28"/>
                <w:szCs w:val="28"/>
              </w:rPr>
              <w:t>RANK POSITION</w:t>
            </w:r>
            <w:r w:rsidRPr="007C6385">
              <w:rPr>
                <w:b/>
                <w:sz w:val="28"/>
                <w:szCs w:val="28"/>
              </w:rPr>
              <w:t>:</w:t>
            </w:r>
            <w:r w:rsidR="00513443" w:rsidRPr="007C6385">
              <w:rPr>
                <w:b/>
                <w:sz w:val="28"/>
                <w:szCs w:val="28"/>
              </w:rPr>
              <w:t xml:space="preserve"> </w:t>
            </w:r>
            <w:r w:rsidR="00301A8E" w:rsidRPr="007C6385">
              <w:rPr>
                <w:b/>
                <w:sz w:val="28"/>
                <w:szCs w:val="28"/>
              </w:rPr>
              <w:t>18</w:t>
            </w:r>
            <w:r w:rsidR="00513443" w:rsidRPr="007C6385">
              <w:rPr>
                <w:b/>
                <w:sz w:val="28"/>
                <w:szCs w:val="28"/>
              </w:rPr>
              <w:t xml:space="preserve">   </w:t>
            </w:r>
            <w:r w:rsidRPr="000C25E0">
              <w:rPr>
                <w:b/>
                <w:sz w:val="28"/>
                <w:szCs w:val="28"/>
              </w:rPr>
              <w:t>RANK MOVEMENT:</w:t>
            </w:r>
            <w:r w:rsidR="00301A8E">
              <w:rPr>
                <w:b/>
                <w:sz w:val="28"/>
                <w:szCs w:val="28"/>
              </w:rPr>
              <w:t xml:space="preserve"> -3</w:t>
            </w:r>
            <w:r w:rsidRPr="000C25E0">
              <w:rPr>
                <w:b/>
                <w:sz w:val="28"/>
                <w:szCs w:val="28"/>
              </w:rPr>
              <w:t xml:space="preserve"> </w:t>
            </w:r>
            <w:r w:rsidR="007C6385" w:rsidRPr="00C14931">
              <w:rPr>
                <w:b/>
                <w:color w:val="FF0000"/>
                <w:sz w:val="28"/>
                <w:szCs w:val="28"/>
              </w:rPr>
              <w:sym w:font="Wingdings" w:char="F0EA"/>
            </w:r>
          </w:p>
        </w:tc>
        <w:tc>
          <w:tcPr>
            <w:tcW w:w="7943" w:type="dxa"/>
            <w:gridSpan w:val="2"/>
            <w:tcBorders>
              <w:bottom w:val="nil"/>
            </w:tcBorders>
            <w:shd w:val="clear" w:color="auto" w:fill="D9D9D9" w:themeFill="background1" w:themeFillShade="D9"/>
            <w:vAlign w:val="center"/>
          </w:tcPr>
          <w:p w14:paraId="7A74BEA9" w14:textId="77777777" w:rsidR="00EB3781" w:rsidRDefault="00EB3781" w:rsidP="009A329B">
            <w:pPr>
              <w:jc w:val="center"/>
              <w:rPr>
                <w:sz w:val="28"/>
                <w:szCs w:val="28"/>
              </w:rPr>
            </w:pPr>
          </w:p>
        </w:tc>
      </w:tr>
      <w:tr w:rsidR="00EB3781" w:rsidRPr="004C5A6D" w14:paraId="602AA63A" w14:textId="77777777" w:rsidTr="00B318EA">
        <w:trPr>
          <w:trHeight w:val="397"/>
          <w:jc w:val="center"/>
        </w:trPr>
        <w:tc>
          <w:tcPr>
            <w:tcW w:w="7366" w:type="dxa"/>
            <w:gridSpan w:val="2"/>
            <w:tcBorders>
              <w:bottom w:val="nil"/>
            </w:tcBorders>
            <w:shd w:val="clear" w:color="auto" w:fill="D9E2F3" w:themeFill="accent5" w:themeFillTint="33"/>
            <w:vAlign w:val="center"/>
          </w:tcPr>
          <w:p w14:paraId="4042B50D" w14:textId="00B3F519" w:rsidR="00EB3781" w:rsidRPr="000C25E0" w:rsidRDefault="00EB3781" w:rsidP="004B3E94">
            <w:pPr>
              <w:jc w:val="center"/>
              <w:rPr>
                <w:b/>
                <w:sz w:val="28"/>
                <w:szCs w:val="28"/>
              </w:rPr>
            </w:pPr>
            <w:r>
              <w:rPr>
                <w:b/>
                <w:sz w:val="28"/>
                <w:szCs w:val="28"/>
              </w:rPr>
              <w:t>FAMILY GROUP RANKING 201</w:t>
            </w:r>
            <w:r w:rsidR="004B3E94">
              <w:rPr>
                <w:b/>
                <w:sz w:val="28"/>
                <w:szCs w:val="28"/>
              </w:rPr>
              <w:t>8</w:t>
            </w:r>
            <w:r>
              <w:rPr>
                <w:b/>
                <w:sz w:val="28"/>
                <w:szCs w:val="28"/>
              </w:rPr>
              <w:t>/1</w:t>
            </w:r>
            <w:r w:rsidR="004B3E94">
              <w:rPr>
                <w:b/>
                <w:sz w:val="28"/>
                <w:szCs w:val="28"/>
              </w:rPr>
              <w:t>9</w:t>
            </w:r>
          </w:p>
        </w:tc>
        <w:tc>
          <w:tcPr>
            <w:tcW w:w="7943" w:type="dxa"/>
            <w:gridSpan w:val="2"/>
            <w:tcBorders>
              <w:top w:val="nil"/>
              <w:bottom w:val="nil"/>
            </w:tcBorders>
            <w:shd w:val="clear" w:color="auto" w:fill="D9D9D9" w:themeFill="background1" w:themeFillShade="D9"/>
            <w:vAlign w:val="center"/>
          </w:tcPr>
          <w:p w14:paraId="5A28895D" w14:textId="77777777" w:rsidR="00EB3781" w:rsidRDefault="00EB3781" w:rsidP="009A329B">
            <w:pPr>
              <w:jc w:val="center"/>
              <w:rPr>
                <w:sz w:val="28"/>
                <w:szCs w:val="28"/>
              </w:rPr>
            </w:pPr>
          </w:p>
        </w:tc>
      </w:tr>
      <w:tr w:rsidR="00EB3781" w:rsidRPr="004C5A6D" w14:paraId="1335B49A" w14:textId="77777777" w:rsidTr="00B318EA">
        <w:trPr>
          <w:trHeight w:val="397"/>
          <w:jc w:val="center"/>
        </w:trPr>
        <w:tc>
          <w:tcPr>
            <w:tcW w:w="7366" w:type="dxa"/>
            <w:gridSpan w:val="2"/>
            <w:tcBorders>
              <w:top w:val="nil"/>
            </w:tcBorders>
            <w:shd w:val="clear" w:color="auto" w:fill="D9E2F3" w:themeFill="accent5" w:themeFillTint="33"/>
            <w:vAlign w:val="center"/>
          </w:tcPr>
          <w:p w14:paraId="5F37D90F" w14:textId="130E6E58" w:rsidR="00EB3781" w:rsidRDefault="00EB3781" w:rsidP="00301A8E">
            <w:pPr>
              <w:jc w:val="center"/>
              <w:rPr>
                <w:b/>
                <w:sz w:val="28"/>
                <w:szCs w:val="28"/>
              </w:rPr>
            </w:pPr>
            <w:r>
              <w:rPr>
                <w:b/>
                <w:sz w:val="28"/>
                <w:szCs w:val="28"/>
              </w:rPr>
              <w:t>RANK POSITION:</w:t>
            </w:r>
            <w:r w:rsidR="00FD1CF1">
              <w:rPr>
                <w:b/>
                <w:sz w:val="28"/>
                <w:szCs w:val="28"/>
              </w:rPr>
              <w:t xml:space="preserve"> </w:t>
            </w:r>
            <w:r w:rsidR="00301A8E">
              <w:rPr>
                <w:b/>
                <w:sz w:val="28"/>
                <w:szCs w:val="28"/>
              </w:rPr>
              <w:t>8</w:t>
            </w:r>
            <w:r w:rsidR="00FD1CF1">
              <w:rPr>
                <w:b/>
                <w:sz w:val="28"/>
                <w:szCs w:val="28"/>
              </w:rPr>
              <w:t xml:space="preserve">  </w:t>
            </w:r>
            <w:r>
              <w:rPr>
                <w:b/>
                <w:sz w:val="28"/>
                <w:szCs w:val="28"/>
              </w:rPr>
              <w:t>RANK MOVEMENT:</w:t>
            </w:r>
            <w:r w:rsidR="00301A8E">
              <w:rPr>
                <w:b/>
                <w:sz w:val="28"/>
                <w:szCs w:val="28"/>
              </w:rPr>
              <w:t xml:space="preserve"> -1</w:t>
            </w:r>
            <w:r>
              <w:rPr>
                <w:b/>
                <w:sz w:val="28"/>
                <w:szCs w:val="28"/>
              </w:rPr>
              <w:t xml:space="preserve"> </w:t>
            </w:r>
            <w:r w:rsidR="007C6385" w:rsidRPr="00C14931">
              <w:rPr>
                <w:b/>
                <w:color w:val="FF0000"/>
                <w:sz w:val="28"/>
                <w:szCs w:val="28"/>
              </w:rPr>
              <w:sym w:font="Wingdings" w:char="F0EA"/>
            </w:r>
          </w:p>
        </w:tc>
        <w:tc>
          <w:tcPr>
            <w:tcW w:w="7943" w:type="dxa"/>
            <w:gridSpan w:val="2"/>
            <w:tcBorders>
              <w:top w:val="nil"/>
            </w:tcBorders>
            <w:shd w:val="clear" w:color="auto" w:fill="D9D9D9" w:themeFill="background1" w:themeFillShade="D9"/>
            <w:vAlign w:val="center"/>
          </w:tcPr>
          <w:p w14:paraId="7C8EF40E" w14:textId="77777777" w:rsidR="00EB3781" w:rsidRDefault="00EB3781" w:rsidP="009A329B">
            <w:pPr>
              <w:jc w:val="center"/>
              <w:rPr>
                <w:sz w:val="28"/>
                <w:szCs w:val="28"/>
              </w:rPr>
            </w:pPr>
          </w:p>
        </w:tc>
      </w:tr>
      <w:tr w:rsidR="00BB4C90" w:rsidRPr="004C5A6D" w14:paraId="6431F075" w14:textId="77777777" w:rsidTr="00D57F40">
        <w:trPr>
          <w:trHeight w:val="397"/>
          <w:jc w:val="center"/>
        </w:trPr>
        <w:tc>
          <w:tcPr>
            <w:tcW w:w="15309" w:type="dxa"/>
            <w:gridSpan w:val="4"/>
            <w:vAlign w:val="center"/>
          </w:tcPr>
          <w:p w14:paraId="0E5E20A2" w14:textId="6E484684" w:rsidR="00BB4C90" w:rsidRPr="00BB4C90" w:rsidRDefault="00BB4C90" w:rsidP="00BB4C90">
            <w:pPr>
              <w:rPr>
                <w:sz w:val="6"/>
                <w:szCs w:val="6"/>
              </w:rPr>
            </w:pPr>
          </w:p>
          <w:p w14:paraId="4C16B287" w14:textId="77777777" w:rsidR="00BB4C90" w:rsidRDefault="00BB4C90" w:rsidP="000F4CDF">
            <w:pPr>
              <w:spacing w:after="120"/>
              <w:rPr>
                <w:b/>
                <w:sz w:val="28"/>
                <w:szCs w:val="28"/>
              </w:rPr>
            </w:pPr>
            <w:r w:rsidRPr="004C5A6D">
              <w:rPr>
                <w:b/>
                <w:sz w:val="28"/>
                <w:szCs w:val="28"/>
              </w:rPr>
              <w:t>TELLING OUR STORY:</w:t>
            </w:r>
          </w:p>
          <w:p w14:paraId="02A3E84A" w14:textId="5838935E" w:rsidR="005A2E04" w:rsidRPr="00036039" w:rsidRDefault="00202B80" w:rsidP="000F4CDF">
            <w:pPr>
              <w:spacing w:after="120"/>
              <w:rPr>
                <w:rFonts w:cstheme="minorHAnsi"/>
                <w:sz w:val="24"/>
                <w:szCs w:val="24"/>
              </w:rPr>
            </w:pPr>
            <w:r w:rsidRPr="00036039">
              <w:rPr>
                <w:rFonts w:cstheme="minorHAnsi"/>
                <w:sz w:val="24"/>
                <w:szCs w:val="24"/>
              </w:rPr>
              <w:t>The cleanliness score for Argyll and Bute has fallen for the second year in a row, as has its ranking within Scotland. The cleanliness score of Argyll and Bute is currently slightly lower than the Scottish average.</w:t>
            </w:r>
          </w:p>
          <w:p w14:paraId="1EDD8B45" w14:textId="77777777" w:rsidR="00202B80" w:rsidRPr="00036039" w:rsidRDefault="00202B80" w:rsidP="000F4CDF">
            <w:pPr>
              <w:spacing w:after="120"/>
              <w:rPr>
                <w:rFonts w:cstheme="minorHAnsi"/>
                <w:sz w:val="24"/>
                <w:szCs w:val="24"/>
              </w:rPr>
            </w:pPr>
            <w:r w:rsidRPr="00036039">
              <w:rPr>
                <w:rFonts w:cstheme="minorHAnsi"/>
                <w:sz w:val="24"/>
                <w:szCs w:val="24"/>
              </w:rPr>
              <w:t>Between 2017/18 and 2018/19, cleanliness scores for 19 local authorities improved and worsened for 13.</w:t>
            </w:r>
          </w:p>
          <w:p w14:paraId="6C8160B6" w14:textId="2C7BCB0E" w:rsidR="00202B80" w:rsidRPr="00036039" w:rsidRDefault="00202B80" w:rsidP="000F4CDF">
            <w:pPr>
              <w:spacing w:after="120"/>
              <w:rPr>
                <w:rFonts w:cstheme="minorHAnsi"/>
                <w:sz w:val="24"/>
                <w:szCs w:val="24"/>
              </w:rPr>
            </w:pPr>
            <w:r w:rsidRPr="00036039">
              <w:rPr>
                <w:rFonts w:cstheme="minorHAnsi"/>
                <w:sz w:val="24"/>
                <w:szCs w:val="24"/>
              </w:rPr>
              <w:t xml:space="preserve">Over the lifetime of the LGBF, the cleanliness scores for Argyll and Bute have fluctuated. Despite reducing resources, the current score remains higher than the lowest recorded score for Argyll and Bute (88.30 in 2015/16). (The highest score recorded for Argyll and Bute in the LGBF was 97.80, in 2012/13.)  </w:t>
            </w:r>
          </w:p>
          <w:p w14:paraId="65C63A20" w14:textId="18DC867D" w:rsidR="00202B80" w:rsidRPr="00036039" w:rsidRDefault="00202B80" w:rsidP="000F4CDF">
            <w:pPr>
              <w:spacing w:after="120"/>
              <w:rPr>
                <w:rFonts w:cstheme="minorHAnsi"/>
                <w:sz w:val="24"/>
                <w:szCs w:val="24"/>
              </w:rPr>
            </w:pPr>
            <w:r w:rsidRPr="00036039">
              <w:rPr>
                <w:rFonts w:cstheme="minorHAnsi"/>
                <w:sz w:val="24"/>
                <w:szCs w:val="24"/>
              </w:rPr>
              <w:t>Rankings over time have also fluctuated, ranging from 5</w:t>
            </w:r>
            <w:r w:rsidRPr="00036039">
              <w:rPr>
                <w:rFonts w:cstheme="minorHAnsi"/>
                <w:sz w:val="24"/>
                <w:szCs w:val="24"/>
                <w:vertAlign w:val="superscript"/>
              </w:rPr>
              <w:t>th</w:t>
            </w:r>
            <w:r w:rsidRPr="00036039">
              <w:rPr>
                <w:rFonts w:cstheme="minorHAnsi"/>
                <w:sz w:val="24"/>
                <w:szCs w:val="24"/>
              </w:rPr>
              <w:t xml:space="preserve"> in 2010/11 to 27 in 2015/16.</w:t>
            </w:r>
          </w:p>
          <w:p w14:paraId="603ECC56" w14:textId="77777777" w:rsidR="005A2E04" w:rsidRPr="00BB4C90" w:rsidRDefault="005A2E04" w:rsidP="004B3E94">
            <w:pPr>
              <w:rPr>
                <w:rFonts w:ascii="Arial" w:hAnsi="Arial" w:cs="Arial"/>
                <w:szCs w:val="28"/>
              </w:rPr>
            </w:pPr>
          </w:p>
        </w:tc>
      </w:tr>
      <w:tr w:rsidR="00BB4C90" w:rsidRPr="004C5A6D" w14:paraId="5D400E81" w14:textId="77777777" w:rsidTr="00D57F40">
        <w:trPr>
          <w:trHeight w:val="397"/>
          <w:jc w:val="center"/>
        </w:trPr>
        <w:tc>
          <w:tcPr>
            <w:tcW w:w="15309" w:type="dxa"/>
            <w:gridSpan w:val="4"/>
            <w:vAlign w:val="center"/>
          </w:tcPr>
          <w:p w14:paraId="6AE2A3F3" w14:textId="77777777" w:rsidR="00BB4C90" w:rsidRPr="00BB4C90" w:rsidRDefault="00BB4C90" w:rsidP="00BB4C90">
            <w:pPr>
              <w:rPr>
                <w:sz w:val="6"/>
                <w:szCs w:val="6"/>
              </w:rPr>
            </w:pPr>
          </w:p>
          <w:p w14:paraId="13B88D41" w14:textId="77777777" w:rsidR="00BB4C90" w:rsidRDefault="00BB4C90" w:rsidP="00BB4C90">
            <w:pPr>
              <w:rPr>
                <w:b/>
                <w:sz w:val="28"/>
                <w:szCs w:val="28"/>
              </w:rPr>
            </w:pPr>
            <w:r>
              <w:rPr>
                <w:b/>
                <w:sz w:val="28"/>
                <w:szCs w:val="28"/>
              </w:rPr>
              <w:t>LOOKING FORWARD - EXPECTED IMPACT ON INDICATOR</w:t>
            </w:r>
            <w:r w:rsidRPr="004C5A6D">
              <w:rPr>
                <w:b/>
                <w:sz w:val="28"/>
                <w:szCs w:val="28"/>
              </w:rPr>
              <w:t>:</w:t>
            </w:r>
          </w:p>
          <w:p w14:paraId="6167843A" w14:textId="77777777" w:rsidR="00FE2C8E" w:rsidRDefault="00FE2C8E" w:rsidP="00BB4C90">
            <w:pPr>
              <w:rPr>
                <w:b/>
                <w:sz w:val="28"/>
                <w:szCs w:val="28"/>
              </w:rPr>
            </w:pPr>
          </w:p>
          <w:p w14:paraId="49912C91" w14:textId="77777777" w:rsidR="00FE2C8E" w:rsidRPr="006D1AAA" w:rsidRDefault="00FE2C8E" w:rsidP="00FE2C8E">
            <w:pPr>
              <w:rPr>
                <w:sz w:val="24"/>
                <w:szCs w:val="24"/>
              </w:rPr>
            </w:pPr>
            <w:r>
              <w:rPr>
                <w:sz w:val="24"/>
                <w:szCs w:val="24"/>
              </w:rPr>
              <w:t>With the anticipated budget pressures that could result in a reduction to service standards in areas such as grass cutting etc, there is a high probability that the overall cleanliness indicator will be impacted negatively. Whilst grass cutting isn’t a direct measure, detritus and other materials are more likely to be retained in grasslands thus impacting on the overall score.</w:t>
            </w:r>
          </w:p>
          <w:p w14:paraId="7D91CBB0" w14:textId="77777777" w:rsidR="00BB4C90" w:rsidRPr="00BB4C90" w:rsidRDefault="00BB4C90" w:rsidP="004B3E94">
            <w:pPr>
              <w:rPr>
                <w:rFonts w:ascii="Arial" w:hAnsi="Arial" w:cs="Arial"/>
                <w:szCs w:val="28"/>
              </w:rPr>
            </w:pPr>
          </w:p>
        </w:tc>
      </w:tr>
    </w:tbl>
    <w:p w14:paraId="1645AC9F" w14:textId="77777777" w:rsidR="004B3E94" w:rsidRDefault="004B3E94">
      <w:r>
        <w:lastRenderedPageBreak/>
        <w:br w:type="page"/>
      </w:r>
    </w:p>
    <w:tbl>
      <w:tblPr>
        <w:tblStyle w:val="TableGrid3"/>
        <w:tblW w:w="15309" w:type="dxa"/>
        <w:jc w:val="center"/>
        <w:tblLook w:val="04A0" w:firstRow="1" w:lastRow="0" w:firstColumn="1" w:lastColumn="0" w:noHBand="0" w:noVBand="1"/>
      </w:tblPr>
      <w:tblGrid>
        <w:gridCol w:w="5807"/>
        <w:gridCol w:w="1559"/>
        <w:gridCol w:w="6237"/>
        <w:gridCol w:w="1706"/>
      </w:tblGrid>
      <w:tr w:rsidR="00912400" w:rsidRPr="005D65E6" w14:paraId="2D86D42E" w14:textId="77777777" w:rsidTr="00912400">
        <w:trPr>
          <w:trHeight w:val="794"/>
          <w:jc w:val="center"/>
        </w:trPr>
        <w:tc>
          <w:tcPr>
            <w:tcW w:w="15309" w:type="dxa"/>
            <w:gridSpan w:val="4"/>
            <w:vAlign w:val="center"/>
          </w:tcPr>
          <w:p w14:paraId="32F9A049" w14:textId="72262D77" w:rsidR="00912400" w:rsidRPr="005D65E6" w:rsidRDefault="00473295" w:rsidP="005D65E6">
            <w:pPr>
              <w:rPr>
                <w:b/>
                <w:sz w:val="32"/>
              </w:rPr>
            </w:pPr>
            <w:r>
              <w:rPr>
                <w:b/>
                <w:sz w:val="32"/>
              </w:rPr>
              <w:lastRenderedPageBreak/>
              <w:t xml:space="preserve">SERVICE: </w:t>
            </w:r>
            <w:r w:rsidRPr="005D65E6">
              <w:rPr>
                <w:b/>
                <w:sz w:val="32"/>
              </w:rPr>
              <w:t xml:space="preserve">ROADS AND </w:t>
            </w:r>
            <w:r>
              <w:rPr>
                <w:b/>
                <w:sz w:val="32"/>
              </w:rPr>
              <w:t>INFRASTRUCTURE</w:t>
            </w:r>
          </w:p>
        </w:tc>
      </w:tr>
      <w:tr w:rsidR="004C5A6D" w:rsidRPr="005D3B71" w14:paraId="55020B79" w14:textId="77777777" w:rsidTr="00BB4C90">
        <w:trPr>
          <w:trHeight w:val="567"/>
          <w:jc w:val="center"/>
        </w:trPr>
        <w:tc>
          <w:tcPr>
            <w:tcW w:w="15309" w:type="dxa"/>
            <w:gridSpan w:val="4"/>
            <w:vAlign w:val="center"/>
          </w:tcPr>
          <w:p w14:paraId="2886C360" w14:textId="77777777" w:rsidR="004C5A6D" w:rsidRPr="005D3B71" w:rsidRDefault="004C5A6D" w:rsidP="009A329B">
            <w:pPr>
              <w:pStyle w:val="Heading1"/>
              <w:spacing w:before="0"/>
              <w:outlineLvl w:val="0"/>
              <w:rPr>
                <w:b/>
                <w:color w:val="auto"/>
              </w:rPr>
            </w:pPr>
            <w:bookmarkStart w:id="41" w:name="_Toc56757719"/>
            <w:r w:rsidRPr="005D3B71">
              <w:rPr>
                <w:b/>
                <w:color w:val="auto"/>
              </w:rPr>
              <w:t>INDICATOR REF: ENV4a - Cost of maintenance per kilometre of roads</w:t>
            </w:r>
            <w:bookmarkEnd w:id="41"/>
            <w:r w:rsidR="00CA7DF1" w:rsidRPr="005D3B71">
              <w:rPr>
                <w:b/>
                <w:color w:val="auto"/>
              </w:rPr>
              <w:t xml:space="preserve"> </w:t>
            </w:r>
          </w:p>
        </w:tc>
      </w:tr>
      <w:tr w:rsidR="00E06E41" w:rsidRPr="004C5A6D" w14:paraId="034BA297" w14:textId="77777777" w:rsidTr="00BB4C90">
        <w:trPr>
          <w:trHeight w:val="454"/>
          <w:jc w:val="center"/>
        </w:trPr>
        <w:tc>
          <w:tcPr>
            <w:tcW w:w="15309" w:type="dxa"/>
            <w:gridSpan w:val="4"/>
            <w:vAlign w:val="center"/>
          </w:tcPr>
          <w:p w14:paraId="4A7EF361" w14:textId="76AB1EDC" w:rsidR="00E06E41" w:rsidRPr="00DC5465" w:rsidRDefault="00DC5465" w:rsidP="00301A8E">
            <w:pPr>
              <w:jc w:val="center"/>
              <w:rPr>
                <w:b/>
                <w:color w:val="0070C0"/>
                <w:sz w:val="28"/>
                <w:szCs w:val="28"/>
              </w:rPr>
            </w:pPr>
            <w:r>
              <w:rPr>
                <w:b/>
                <w:color w:val="0070C0"/>
                <w:sz w:val="28"/>
                <w:szCs w:val="28"/>
              </w:rPr>
              <w:t xml:space="preserve">Performance Range: </w:t>
            </w:r>
            <w:r w:rsidR="00E62AB6">
              <w:rPr>
                <w:b/>
                <w:color w:val="0070C0"/>
                <w:sz w:val="28"/>
                <w:szCs w:val="28"/>
              </w:rPr>
              <w:t>£</w:t>
            </w:r>
            <w:r w:rsidR="00301A8E">
              <w:rPr>
                <w:b/>
                <w:color w:val="0070C0"/>
                <w:sz w:val="28"/>
                <w:szCs w:val="28"/>
              </w:rPr>
              <w:t>4,431</w:t>
            </w:r>
            <w:r w:rsidR="00E62AB6">
              <w:rPr>
                <w:b/>
                <w:color w:val="0070C0"/>
                <w:sz w:val="28"/>
                <w:szCs w:val="28"/>
              </w:rPr>
              <w:t xml:space="preserve"> to </w:t>
            </w:r>
            <w:r>
              <w:rPr>
                <w:b/>
                <w:color w:val="0070C0"/>
                <w:sz w:val="28"/>
                <w:szCs w:val="28"/>
              </w:rPr>
              <w:t>£</w:t>
            </w:r>
            <w:r w:rsidR="00301A8E">
              <w:rPr>
                <w:b/>
                <w:color w:val="0070C0"/>
                <w:sz w:val="28"/>
                <w:szCs w:val="28"/>
              </w:rPr>
              <w:t>23,266</w:t>
            </w:r>
            <w:r w:rsidR="004B3E94">
              <w:rPr>
                <w:b/>
                <w:color w:val="0070C0"/>
                <w:sz w:val="28"/>
                <w:szCs w:val="28"/>
              </w:rPr>
              <w:t xml:space="preserve"> </w:t>
            </w:r>
            <w:r>
              <w:rPr>
                <w:b/>
                <w:color w:val="0070C0"/>
                <w:sz w:val="28"/>
                <w:szCs w:val="28"/>
              </w:rPr>
              <w:t xml:space="preserve"> </w:t>
            </w:r>
            <w:r w:rsidR="00BE08CC" w:rsidRPr="00BE08CC">
              <w:rPr>
                <w:b/>
                <w:color w:val="0070C0"/>
                <w:sz w:val="28"/>
                <w:szCs w:val="28"/>
              </w:rPr>
              <w:t>(Lowest is best)</w:t>
            </w:r>
          </w:p>
        </w:tc>
      </w:tr>
      <w:tr w:rsidR="004C5A6D" w:rsidRPr="004C5A6D" w14:paraId="5833F0B5" w14:textId="77777777" w:rsidTr="00E83409">
        <w:trPr>
          <w:trHeight w:val="397"/>
          <w:jc w:val="center"/>
        </w:trPr>
        <w:tc>
          <w:tcPr>
            <w:tcW w:w="7366" w:type="dxa"/>
            <w:gridSpan w:val="2"/>
            <w:shd w:val="clear" w:color="auto" w:fill="D9E2F3" w:themeFill="accent5" w:themeFillTint="33"/>
            <w:vAlign w:val="center"/>
          </w:tcPr>
          <w:p w14:paraId="07A91FE0" w14:textId="77777777" w:rsidR="004C5A6D" w:rsidRPr="004C5A6D" w:rsidRDefault="004C5A6D" w:rsidP="009A329B">
            <w:pPr>
              <w:jc w:val="center"/>
              <w:rPr>
                <w:b/>
                <w:sz w:val="28"/>
                <w:szCs w:val="28"/>
              </w:rPr>
            </w:pPr>
            <w:r w:rsidRPr="004C5A6D">
              <w:rPr>
                <w:b/>
                <w:sz w:val="28"/>
                <w:szCs w:val="28"/>
              </w:rPr>
              <w:t>ARGYLL AND BUTE</w:t>
            </w:r>
          </w:p>
        </w:tc>
        <w:tc>
          <w:tcPr>
            <w:tcW w:w="7943" w:type="dxa"/>
            <w:gridSpan w:val="2"/>
            <w:shd w:val="clear" w:color="auto" w:fill="D9E2F3" w:themeFill="accent5" w:themeFillTint="33"/>
            <w:vAlign w:val="center"/>
          </w:tcPr>
          <w:p w14:paraId="7E387D82" w14:textId="77777777" w:rsidR="004C5A6D" w:rsidRPr="004C5A6D" w:rsidRDefault="004C5A6D" w:rsidP="009A329B">
            <w:pPr>
              <w:jc w:val="center"/>
              <w:rPr>
                <w:b/>
                <w:sz w:val="28"/>
                <w:szCs w:val="28"/>
              </w:rPr>
            </w:pPr>
            <w:r w:rsidRPr="004C5A6D">
              <w:rPr>
                <w:b/>
                <w:sz w:val="28"/>
                <w:szCs w:val="28"/>
              </w:rPr>
              <w:t>SCOTLAND</w:t>
            </w:r>
          </w:p>
        </w:tc>
      </w:tr>
      <w:tr w:rsidR="004C5A6D" w:rsidRPr="004C5A6D" w14:paraId="19B67B29" w14:textId="77777777" w:rsidTr="00BB4C90">
        <w:trPr>
          <w:trHeight w:val="397"/>
          <w:jc w:val="center"/>
        </w:trPr>
        <w:tc>
          <w:tcPr>
            <w:tcW w:w="7366" w:type="dxa"/>
            <w:gridSpan w:val="2"/>
            <w:vAlign w:val="center"/>
          </w:tcPr>
          <w:p w14:paraId="5BA6307C" w14:textId="1DCBC95F" w:rsidR="004C5A6D" w:rsidRPr="000C25E0" w:rsidRDefault="004B3E94" w:rsidP="009A329B">
            <w:pPr>
              <w:jc w:val="center"/>
              <w:rPr>
                <w:b/>
                <w:sz w:val="28"/>
                <w:szCs w:val="28"/>
              </w:rPr>
            </w:pPr>
            <w:r>
              <w:rPr>
                <w:b/>
                <w:sz w:val="28"/>
                <w:szCs w:val="28"/>
              </w:rPr>
              <w:t>£</w:t>
            </w:r>
            <w:r w:rsidR="00301A8E">
              <w:rPr>
                <w:b/>
                <w:sz w:val="28"/>
                <w:szCs w:val="28"/>
              </w:rPr>
              <w:t>7,930</w:t>
            </w:r>
          </w:p>
        </w:tc>
        <w:tc>
          <w:tcPr>
            <w:tcW w:w="7943" w:type="dxa"/>
            <w:gridSpan w:val="2"/>
            <w:vAlign w:val="center"/>
          </w:tcPr>
          <w:p w14:paraId="119EF1FF" w14:textId="022779BF" w:rsidR="004C5A6D" w:rsidRPr="004C5A6D" w:rsidRDefault="004B3E94" w:rsidP="009A329B">
            <w:pPr>
              <w:jc w:val="center"/>
              <w:rPr>
                <w:b/>
                <w:sz w:val="28"/>
                <w:szCs w:val="28"/>
              </w:rPr>
            </w:pPr>
            <w:r>
              <w:rPr>
                <w:b/>
                <w:sz w:val="28"/>
                <w:szCs w:val="28"/>
              </w:rPr>
              <w:t>£</w:t>
            </w:r>
            <w:r w:rsidR="00301A8E">
              <w:rPr>
                <w:b/>
                <w:sz w:val="28"/>
                <w:szCs w:val="28"/>
              </w:rPr>
              <w:t>9,823</w:t>
            </w:r>
          </w:p>
        </w:tc>
      </w:tr>
      <w:tr w:rsidR="00BB4C90" w:rsidRPr="004C5A6D" w14:paraId="430F638B" w14:textId="77777777" w:rsidTr="00BB4C90">
        <w:trPr>
          <w:trHeight w:val="397"/>
          <w:jc w:val="center"/>
        </w:trPr>
        <w:tc>
          <w:tcPr>
            <w:tcW w:w="5807" w:type="dxa"/>
            <w:vAlign w:val="center"/>
          </w:tcPr>
          <w:p w14:paraId="089F9E3A" w14:textId="2405A0EF" w:rsidR="00BB4C90" w:rsidRPr="000C25E0" w:rsidRDefault="00BB4C90" w:rsidP="004B3E94">
            <w:pPr>
              <w:jc w:val="center"/>
              <w:rPr>
                <w:b/>
                <w:sz w:val="28"/>
                <w:szCs w:val="28"/>
              </w:rPr>
            </w:pPr>
            <w:r w:rsidRPr="00721B18">
              <w:rPr>
                <w:b/>
                <w:sz w:val="28"/>
                <w:szCs w:val="28"/>
              </w:rPr>
              <w:t>CHANGE 201</w:t>
            </w:r>
            <w:r w:rsidR="004B3E94">
              <w:rPr>
                <w:b/>
                <w:sz w:val="28"/>
                <w:szCs w:val="28"/>
              </w:rPr>
              <w:t>7</w:t>
            </w:r>
            <w:r w:rsidRPr="00721B18">
              <w:rPr>
                <w:b/>
                <w:sz w:val="28"/>
                <w:szCs w:val="28"/>
              </w:rPr>
              <w:t>/1</w:t>
            </w:r>
            <w:r w:rsidR="004B3E94">
              <w:rPr>
                <w:b/>
                <w:sz w:val="28"/>
                <w:szCs w:val="28"/>
              </w:rPr>
              <w:t>8</w:t>
            </w:r>
            <w:r w:rsidRPr="00721B18">
              <w:rPr>
                <w:b/>
                <w:sz w:val="28"/>
                <w:szCs w:val="28"/>
              </w:rPr>
              <w:t xml:space="preserve"> TO </w:t>
            </w:r>
            <w:r>
              <w:rPr>
                <w:b/>
                <w:sz w:val="28"/>
                <w:szCs w:val="28"/>
              </w:rPr>
              <w:t>201</w:t>
            </w:r>
            <w:r w:rsidR="004B3E94">
              <w:rPr>
                <w:b/>
                <w:sz w:val="28"/>
                <w:szCs w:val="28"/>
              </w:rPr>
              <w:t>8</w:t>
            </w:r>
            <w:r>
              <w:rPr>
                <w:b/>
                <w:sz w:val="28"/>
                <w:szCs w:val="28"/>
              </w:rPr>
              <w:t>/1</w:t>
            </w:r>
            <w:r w:rsidR="004B3E94">
              <w:rPr>
                <w:b/>
                <w:sz w:val="28"/>
                <w:szCs w:val="28"/>
              </w:rPr>
              <w:t>9</w:t>
            </w:r>
          </w:p>
        </w:tc>
        <w:tc>
          <w:tcPr>
            <w:tcW w:w="1559" w:type="dxa"/>
            <w:vAlign w:val="center"/>
          </w:tcPr>
          <w:p w14:paraId="6E85D1BD" w14:textId="52A2495D" w:rsidR="00BB4C90" w:rsidRPr="000C25E0" w:rsidRDefault="00301A8E" w:rsidP="009A329B">
            <w:pPr>
              <w:jc w:val="center"/>
              <w:rPr>
                <w:b/>
                <w:sz w:val="28"/>
                <w:szCs w:val="28"/>
              </w:rPr>
            </w:pPr>
            <w:r>
              <w:rPr>
                <w:b/>
                <w:sz w:val="28"/>
                <w:szCs w:val="28"/>
              </w:rPr>
              <w:t>23.27</w:t>
            </w:r>
            <w:r w:rsidR="004B3E94">
              <w:rPr>
                <w:b/>
                <w:sz w:val="28"/>
                <w:szCs w:val="28"/>
              </w:rPr>
              <w:t>%</w:t>
            </w:r>
            <w:r w:rsidR="00426AE2">
              <w:rPr>
                <w:b/>
                <w:sz w:val="28"/>
                <w:szCs w:val="28"/>
              </w:rPr>
              <w:t xml:space="preserve"> </w:t>
            </w:r>
            <w:r w:rsidR="00426AE2" w:rsidRPr="00C14931">
              <w:rPr>
                <w:b/>
                <w:sz w:val="28"/>
                <w:szCs w:val="28"/>
              </w:rPr>
              <w:sym w:font="Wingdings" w:char="F0E9"/>
            </w:r>
          </w:p>
        </w:tc>
        <w:tc>
          <w:tcPr>
            <w:tcW w:w="6237" w:type="dxa"/>
            <w:vAlign w:val="center"/>
          </w:tcPr>
          <w:p w14:paraId="1ECC221E" w14:textId="14B2D387" w:rsidR="00BB4C90" w:rsidRDefault="00BB4C90" w:rsidP="004B3E94">
            <w:pPr>
              <w:jc w:val="center"/>
              <w:rPr>
                <w:b/>
                <w:sz w:val="28"/>
                <w:szCs w:val="28"/>
              </w:rPr>
            </w:pPr>
            <w:r>
              <w:rPr>
                <w:sz w:val="28"/>
                <w:szCs w:val="28"/>
              </w:rPr>
              <w:t>CHANGE 201</w:t>
            </w:r>
            <w:r w:rsidR="004B3E94">
              <w:rPr>
                <w:sz w:val="28"/>
                <w:szCs w:val="28"/>
              </w:rPr>
              <w:t>7</w:t>
            </w:r>
            <w:r>
              <w:rPr>
                <w:sz w:val="28"/>
                <w:szCs w:val="28"/>
              </w:rPr>
              <w:t>/1</w:t>
            </w:r>
            <w:r w:rsidR="004B3E94">
              <w:rPr>
                <w:sz w:val="28"/>
                <w:szCs w:val="28"/>
              </w:rPr>
              <w:t>8</w:t>
            </w:r>
            <w:r>
              <w:rPr>
                <w:sz w:val="28"/>
                <w:szCs w:val="28"/>
              </w:rPr>
              <w:t xml:space="preserve"> TO 201</w:t>
            </w:r>
            <w:r w:rsidR="004B3E94">
              <w:rPr>
                <w:sz w:val="28"/>
                <w:szCs w:val="28"/>
              </w:rPr>
              <w:t>8</w:t>
            </w:r>
            <w:r>
              <w:rPr>
                <w:sz w:val="28"/>
                <w:szCs w:val="28"/>
              </w:rPr>
              <w:t>/1</w:t>
            </w:r>
            <w:r w:rsidR="004B3E94">
              <w:rPr>
                <w:sz w:val="28"/>
                <w:szCs w:val="28"/>
              </w:rPr>
              <w:t>9</w:t>
            </w:r>
          </w:p>
        </w:tc>
        <w:tc>
          <w:tcPr>
            <w:tcW w:w="1706" w:type="dxa"/>
            <w:vAlign w:val="center"/>
          </w:tcPr>
          <w:p w14:paraId="1845A674" w14:textId="759F0ED5" w:rsidR="00BB4C90" w:rsidRDefault="00426AE2" w:rsidP="009A329B">
            <w:pPr>
              <w:jc w:val="center"/>
              <w:rPr>
                <w:b/>
                <w:sz w:val="28"/>
                <w:szCs w:val="28"/>
              </w:rPr>
            </w:pPr>
            <w:r>
              <w:rPr>
                <w:sz w:val="28"/>
                <w:szCs w:val="28"/>
              </w:rPr>
              <w:t>-4.85</w:t>
            </w:r>
            <w:r w:rsidR="004B3E94">
              <w:rPr>
                <w:sz w:val="28"/>
                <w:szCs w:val="28"/>
              </w:rPr>
              <w:t>%</w:t>
            </w:r>
            <w:r>
              <w:rPr>
                <w:sz w:val="28"/>
                <w:szCs w:val="28"/>
              </w:rPr>
              <w:t xml:space="preserve"> </w:t>
            </w:r>
            <w:r w:rsidRPr="00C14931">
              <w:rPr>
                <w:b/>
                <w:sz w:val="28"/>
                <w:szCs w:val="28"/>
              </w:rPr>
              <w:sym w:font="Wingdings" w:char="F0EA"/>
            </w:r>
          </w:p>
        </w:tc>
      </w:tr>
      <w:tr w:rsidR="00BB4C90" w:rsidRPr="004C5A6D" w14:paraId="4AC0F35F" w14:textId="77777777" w:rsidTr="00BB4C90">
        <w:trPr>
          <w:trHeight w:val="397"/>
          <w:jc w:val="center"/>
        </w:trPr>
        <w:tc>
          <w:tcPr>
            <w:tcW w:w="5807" w:type="dxa"/>
            <w:vAlign w:val="center"/>
          </w:tcPr>
          <w:p w14:paraId="406A9633" w14:textId="3FCB018A" w:rsidR="00BB4C90" w:rsidRPr="00721B18" w:rsidRDefault="00BB4C90" w:rsidP="004B3E94">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w:t>
            </w:r>
            <w:r w:rsidR="004B3E94">
              <w:rPr>
                <w:b/>
                <w:sz w:val="28"/>
                <w:szCs w:val="28"/>
              </w:rPr>
              <w:t>8</w:t>
            </w:r>
            <w:r>
              <w:rPr>
                <w:b/>
                <w:sz w:val="28"/>
                <w:szCs w:val="28"/>
              </w:rPr>
              <w:t>/1</w:t>
            </w:r>
            <w:r w:rsidR="004B3E94">
              <w:rPr>
                <w:b/>
                <w:sz w:val="28"/>
                <w:szCs w:val="28"/>
              </w:rPr>
              <w:t>9</w:t>
            </w:r>
          </w:p>
        </w:tc>
        <w:tc>
          <w:tcPr>
            <w:tcW w:w="1559" w:type="dxa"/>
            <w:vAlign w:val="center"/>
          </w:tcPr>
          <w:p w14:paraId="54110009" w14:textId="661936AE" w:rsidR="00BB4C90" w:rsidRPr="000C25E0" w:rsidRDefault="00301A8E" w:rsidP="009A329B">
            <w:pPr>
              <w:jc w:val="center"/>
              <w:rPr>
                <w:b/>
                <w:sz w:val="28"/>
                <w:szCs w:val="28"/>
              </w:rPr>
            </w:pPr>
            <w:r>
              <w:rPr>
                <w:b/>
                <w:sz w:val="28"/>
                <w:szCs w:val="28"/>
              </w:rPr>
              <w:t>-21.74</w:t>
            </w:r>
            <w:r w:rsidR="004B3E94">
              <w:rPr>
                <w:b/>
                <w:sz w:val="28"/>
                <w:szCs w:val="28"/>
              </w:rPr>
              <w:t>%</w:t>
            </w:r>
            <w:r w:rsidR="00426AE2">
              <w:rPr>
                <w:b/>
                <w:sz w:val="28"/>
                <w:szCs w:val="28"/>
              </w:rPr>
              <w:t xml:space="preserve"> </w:t>
            </w:r>
            <w:r w:rsidR="00426AE2" w:rsidRPr="00C14931">
              <w:rPr>
                <w:b/>
                <w:sz w:val="28"/>
                <w:szCs w:val="28"/>
              </w:rPr>
              <w:sym w:font="Wingdings" w:char="F0EA"/>
            </w:r>
          </w:p>
        </w:tc>
        <w:tc>
          <w:tcPr>
            <w:tcW w:w="6237" w:type="dxa"/>
            <w:tcBorders>
              <w:bottom w:val="single" w:sz="4" w:space="0" w:color="auto"/>
            </w:tcBorders>
            <w:vAlign w:val="center"/>
          </w:tcPr>
          <w:p w14:paraId="2B3B4D7C" w14:textId="68C18444" w:rsidR="00BB4C90" w:rsidRDefault="00BB4C90" w:rsidP="004B3E94">
            <w:pPr>
              <w:jc w:val="center"/>
              <w:rPr>
                <w:sz w:val="28"/>
                <w:szCs w:val="28"/>
              </w:rPr>
            </w:pPr>
            <w:r>
              <w:rPr>
                <w:sz w:val="28"/>
                <w:szCs w:val="28"/>
              </w:rPr>
              <w:t xml:space="preserve">CHANGE </w:t>
            </w:r>
            <w:r w:rsidRPr="00903E39">
              <w:rPr>
                <w:sz w:val="28"/>
                <w:szCs w:val="28"/>
              </w:rPr>
              <w:t xml:space="preserve">BASE YEAR </w:t>
            </w:r>
            <w:r>
              <w:rPr>
                <w:sz w:val="28"/>
                <w:szCs w:val="28"/>
              </w:rPr>
              <w:t>TO 201</w:t>
            </w:r>
            <w:r w:rsidR="004B3E94">
              <w:rPr>
                <w:sz w:val="28"/>
                <w:szCs w:val="28"/>
              </w:rPr>
              <w:t>8</w:t>
            </w:r>
            <w:r>
              <w:rPr>
                <w:sz w:val="28"/>
                <w:szCs w:val="28"/>
              </w:rPr>
              <w:t>/1</w:t>
            </w:r>
            <w:r w:rsidR="004B3E94">
              <w:rPr>
                <w:sz w:val="28"/>
                <w:szCs w:val="28"/>
              </w:rPr>
              <w:t>9</w:t>
            </w:r>
          </w:p>
        </w:tc>
        <w:tc>
          <w:tcPr>
            <w:tcW w:w="1706" w:type="dxa"/>
            <w:tcBorders>
              <w:bottom w:val="single" w:sz="4" w:space="0" w:color="auto"/>
            </w:tcBorders>
            <w:vAlign w:val="center"/>
          </w:tcPr>
          <w:p w14:paraId="1D185D53" w14:textId="7209004E" w:rsidR="00BB4C90" w:rsidRDefault="00426AE2" w:rsidP="009A329B">
            <w:pPr>
              <w:jc w:val="center"/>
              <w:rPr>
                <w:sz w:val="28"/>
                <w:szCs w:val="28"/>
              </w:rPr>
            </w:pPr>
            <w:r>
              <w:rPr>
                <w:sz w:val="28"/>
                <w:szCs w:val="28"/>
              </w:rPr>
              <w:t>-22.71</w:t>
            </w:r>
            <w:r w:rsidR="004B3E94">
              <w:rPr>
                <w:sz w:val="28"/>
                <w:szCs w:val="28"/>
              </w:rPr>
              <w:t>%</w:t>
            </w:r>
            <w:r>
              <w:rPr>
                <w:sz w:val="28"/>
                <w:szCs w:val="28"/>
              </w:rPr>
              <w:t xml:space="preserve"> </w:t>
            </w:r>
            <w:r w:rsidRPr="00C14931">
              <w:rPr>
                <w:b/>
                <w:sz w:val="28"/>
                <w:szCs w:val="28"/>
              </w:rPr>
              <w:sym w:font="Wingdings" w:char="F0EA"/>
            </w:r>
          </w:p>
        </w:tc>
      </w:tr>
      <w:tr w:rsidR="00BB4C90" w:rsidRPr="004C5A6D" w14:paraId="4256D4FE" w14:textId="77777777" w:rsidTr="00B318EA">
        <w:trPr>
          <w:trHeight w:val="397"/>
          <w:jc w:val="center"/>
        </w:trPr>
        <w:tc>
          <w:tcPr>
            <w:tcW w:w="7366" w:type="dxa"/>
            <w:gridSpan w:val="2"/>
            <w:tcBorders>
              <w:bottom w:val="single" w:sz="4" w:space="0" w:color="auto"/>
            </w:tcBorders>
            <w:vAlign w:val="center"/>
          </w:tcPr>
          <w:p w14:paraId="67456285" w14:textId="7053A3D9" w:rsidR="00BB4C90" w:rsidRPr="000C25E0" w:rsidRDefault="00BB4C90" w:rsidP="004B3E94">
            <w:pPr>
              <w:jc w:val="center"/>
              <w:rPr>
                <w:b/>
                <w:sz w:val="28"/>
                <w:szCs w:val="28"/>
              </w:rPr>
            </w:pPr>
            <w:r w:rsidRPr="006A62B2">
              <w:rPr>
                <w:b/>
                <w:sz w:val="28"/>
                <w:szCs w:val="28"/>
              </w:rPr>
              <w:t>RANK POSITION</w:t>
            </w:r>
            <w:r w:rsidRPr="007C6385">
              <w:rPr>
                <w:b/>
                <w:sz w:val="28"/>
                <w:szCs w:val="28"/>
              </w:rPr>
              <w:t>:</w:t>
            </w:r>
            <w:r w:rsidR="00513443" w:rsidRPr="007C6385">
              <w:rPr>
                <w:b/>
                <w:sz w:val="28"/>
                <w:szCs w:val="28"/>
              </w:rPr>
              <w:t xml:space="preserve">  </w:t>
            </w:r>
            <w:r w:rsidR="00301A8E" w:rsidRPr="007C6385">
              <w:rPr>
                <w:b/>
                <w:sz w:val="28"/>
                <w:szCs w:val="28"/>
              </w:rPr>
              <w:t>11</w:t>
            </w:r>
            <w:r w:rsidR="00513443" w:rsidRPr="007C6385">
              <w:rPr>
                <w:b/>
                <w:sz w:val="28"/>
                <w:szCs w:val="28"/>
              </w:rPr>
              <w:t xml:space="preserve">  </w:t>
            </w:r>
            <w:r w:rsidRPr="006A62B2">
              <w:rPr>
                <w:b/>
                <w:sz w:val="28"/>
                <w:szCs w:val="28"/>
              </w:rPr>
              <w:t>RANK MOVEMENT:</w:t>
            </w:r>
            <w:r w:rsidR="00301A8E">
              <w:rPr>
                <w:b/>
                <w:sz w:val="28"/>
                <w:szCs w:val="28"/>
              </w:rPr>
              <w:t xml:space="preserve"> -5</w:t>
            </w:r>
            <w:r w:rsidRPr="006A62B2">
              <w:rPr>
                <w:b/>
                <w:sz w:val="28"/>
                <w:szCs w:val="28"/>
              </w:rPr>
              <w:t xml:space="preserve"> </w:t>
            </w:r>
            <w:r w:rsidR="00426AE2" w:rsidRPr="00C14931">
              <w:rPr>
                <w:b/>
                <w:sz w:val="28"/>
                <w:szCs w:val="28"/>
              </w:rPr>
              <w:sym w:font="Wingdings" w:char="F0EA"/>
            </w:r>
          </w:p>
        </w:tc>
        <w:tc>
          <w:tcPr>
            <w:tcW w:w="7943" w:type="dxa"/>
            <w:gridSpan w:val="2"/>
            <w:tcBorders>
              <w:bottom w:val="nil"/>
            </w:tcBorders>
            <w:shd w:val="clear" w:color="auto" w:fill="D9D9D9" w:themeFill="background1" w:themeFillShade="D9"/>
            <w:vAlign w:val="center"/>
          </w:tcPr>
          <w:p w14:paraId="6BE16E71" w14:textId="77777777" w:rsidR="00BB4C90" w:rsidRDefault="00BB4C90" w:rsidP="009A329B">
            <w:pPr>
              <w:jc w:val="center"/>
              <w:rPr>
                <w:sz w:val="28"/>
                <w:szCs w:val="28"/>
              </w:rPr>
            </w:pPr>
          </w:p>
        </w:tc>
      </w:tr>
      <w:tr w:rsidR="00BB4C90" w:rsidRPr="004C5A6D" w14:paraId="166A55A7" w14:textId="77777777" w:rsidTr="00B318EA">
        <w:trPr>
          <w:trHeight w:val="397"/>
          <w:jc w:val="center"/>
        </w:trPr>
        <w:tc>
          <w:tcPr>
            <w:tcW w:w="7366" w:type="dxa"/>
            <w:gridSpan w:val="2"/>
            <w:tcBorders>
              <w:bottom w:val="nil"/>
            </w:tcBorders>
            <w:shd w:val="clear" w:color="auto" w:fill="D9E2F3" w:themeFill="accent5" w:themeFillTint="33"/>
            <w:vAlign w:val="center"/>
          </w:tcPr>
          <w:p w14:paraId="1835FC80" w14:textId="21BF3AC2" w:rsidR="00BB4C90" w:rsidRPr="006A62B2" w:rsidRDefault="00BB4C90" w:rsidP="004B3E94">
            <w:pPr>
              <w:jc w:val="center"/>
              <w:rPr>
                <w:b/>
                <w:sz w:val="28"/>
                <w:szCs w:val="28"/>
              </w:rPr>
            </w:pPr>
            <w:r>
              <w:rPr>
                <w:b/>
                <w:sz w:val="28"/>
                <w:szCs w:val="28"/>
              </w:rPr>
              <w:t>FAMILY GROUP RANKING 201</w:t>
            </w:r>
            <w:r w:rsidR="004B3E94">
              <w:rPr>
                <w:b/>
                <w:sz w:val="28"/>
                <w:szCs w:val="28"/>
              </w:rPr>
              <w:t>8</w:t>
            </w:r>
            <w:r>
              <w:rPr>
                <w:b/>
                <w:sz w:val="28"/>
                <w:szCs w:val="28"/>
              </w:rPr>
              <w:t>/1</w:t>
            </w:r>
            <w:r w:rsidR="004B3E94">
              <w:rPr>
                <w:b/>
                <w:sz w:val="28"/>
                <w:szCs w:val="28"/>
              </w:rPr>
              <w:t>9</w:t>
            </w:r>
          </w:p>
        </w:tc>
        <w:tc>
          <w:tcPr>
            <w:tcW w:w="7943" w:type="dxa"/>
            <w:gridSpan w:val="2"/>
            <w:tcBorders>
              <w:top w:val="nil"/>
              <w:bottom w:val="nil"/>
            </w:tcBorders>
            <w:shd w:val="clear" w:color="auto" w:fill="D9D9D9" w:themeFill="background1" w:themeFillShade="D9"/>
            <w:vAlign w:val="center"/>
          </w:tcPr>
          <w:p w14:paraId="6A248760" w14:textId="77777777" w:rsidR="00BB4C90" w:rsidRDefault="00BB4C90" w:rsidP="009A329B">
            <w:pPr>
              <w:jc w:val="center"/>
              <w:rPr>
                <w:sz w:val="28"/>
                <w:szCs w:val="28"/>
              </w:rPr>
            </w:pPr>
          </w:p>
        </w:tc>
      </w:tr>
      <w:tr w:rsidR="00BB4C90" w:rsidRPr="004C5A6D" w14:paraId="638EDFE3" w14:textId="77777777" w:rsidTr="00B318EA">
        <w:trPr>
          <w:trHeight w:val="397"/>
          <w:jc w:val="center"/>
        </w:trPr>
        <w:tc>
          <w:tcPr>
            <w:tcW w:w="7366" w:type="dxa"/>
            <w:gridSpan w:val="2"/>
            <w:tcBorders>
              <w:top w:val="nil"/>
            </w:tcBorders>
            <w:shd w:val="clear" w:color="auto" w:fill="D9E2F3" w:themeFill="accent5" w:themeFillTint="33"/>
            <w:vAlign w:val="center"/>
          </w:tcPr>
          <w:p w14:paraId="0864B11A" w14:textId="53C1B896" w:rsidR="00BB4C90" w:rsidRDefault="00BB4C90" w:rsidP="00301A8E">
            <w:pPr>
              <w:jc w:val="center"/>
              <w:rPr>
                <w:b/>
                <w:sz w:val="28"/>
                <w:szCs w:val="28"/>
              </w:rPr>
            </w:pPr>
            <w:r>
              <w:rPr>
                <w:b/>
                <w:sz w:val="28"/>
                <w:szCs w:val="28"/>
              </w:rPr>
              <w:t>RANK POSITION:</w:t>
            </w:r>
            <w:r w:rsidR="00FD1CF1">
              <w:rPr>
                <w:b/>
                <w:sz w:val="28"/>
                <w:szCs w:val="28"/>
              </w:rPr>
              <w:t xml:space="preserve"> </w:t>
            </w:r>
            <w:r w:rsidR="00301A8E">
              <w:rPr>
                <w:b/>
                <w:sz w:val="28"/>
                <w:szCs w:val="28"/>
              </w:rPr>
              <w:t xml:space="preserve">8 </w:t>
            </w:r>
            <w:r w:rsidR="00FD1CF1">
              <w:rPr>
                <w:b/>
                <w:sz w:val="28"/>
                <w:szCs w:val="28"/>
              </w:rPr>
              <w:t xml:space="preserve"> </w:t>
            </w:r>
            <w:r>
              <w:rPr>
                <w:b/>
                <w:sz w:val="28"/>
                <w:szCs w:val="28"/>
              </w:rPr>
              <w:t>RANK MOVEMENT:</w:t>
            </w:r>
            <w:r w:rsidR="00301A8E">
              <w:rPr>
                <w:b/>
                <w:sz w:val="28"/>
                <w:szCs w:val="28"/>
              </w:rPr>
              <w:t xml:space="preserve"> -2</w:t>
            </w:r>
            <w:r>
              <w:rPr>
                <w:b/>
                <w:sz w:val="28"/>
                <w:szCs w:val="28"/>
              </w:rPr>
              <w:t xml:space="preserve"> </w:t>
            </w:r>
            <w:r w:rsidR="00426AE2" w:rsidRPr="00C14931">
              <w:rPr>
                <w:b/>
                <w:sz w:val="28"/>
                <w:szCs w:val="28"/>
              </w:rPr>
              <w:sym w:font="Wingdings" w:char="F0EA"/>
            </w:r>
          </w:p>
        </w:tc>
        <w:tc>
          <w:tcPr>
            <w:tcW w:w="7943" w:type="dxa"/>
            <w:gridSpan w:val="2"/>
            <w:tcBorders>
              <w:top w:val="nil"/>
            </w:tcBorders>
            <w:shd w:val="clear" w:color="auto" w:fill="D9D9D9" w:themeFill="background1" w:themeFillShade="D9"/>
            <w:vAlign w:val="center"/>
          </w:tcPr>
          <w:p w14:paraId="19EAE639" w14:textId="77777777" w:rsidR="00BB4C90" w:rsidRDefault="00BB4C90" w:rsidP="009A329B">
            <w:pPr>
              <w:jc w:val="center"/>
              <w:rPr>
                <w:sz w:val="28"/>
                <w:szCs w:val="28"/>
              </w:rPr>
            </w:pPr>
          </w:p>
        </w:tc>
      </w:tr>
      <w:tr w:rsidR="00BB4C90" w:rsidRPr="004C5A6D" w14:paraId="61CB6829" w14:textId="77777777" w:rsidTr="00D57F40">
        <w:trPr>
          <w:trHeight w:val="397"/>
          <w:jc w:val="center"/>
        </w:trPr>
        <w:tc>
          <w:tcPr>
            <w:tcW w:w="15309" w:type="dxa"/>
            <w:gridSpan w:val="4"/>
            <w:vAlign w:val="center"/>
          </w:tcPr>
          <w:p w14:paraId="7B2FF6BB" w14:textId="77777777" w:rsidR="00BB4C90" w:rsidRPr="00BB4C90" w:rsidRDefault="00BB4C90" w:rsidP="00BB4C90">
            <w:pPr>
              <w:rPr>
                <w:sz w:val="6"/>
                <w:szCs w:val="6"/>
              </w:rPr>
            </w:pPr>
          </w:p>
          <w:p w14:paraId="7A195A04" w14:textId="77777777" w:rsidR="00BB4C90" w:rsidRDefault="00BB4C90" w:rsidP="00876CB3">
            <w:pPr>
              <w:spacing w:after="120"/>
              <w:rPr>
                <w:b/>
                <w:sz w:val="28"/>
                <w:szCs w:val="28"/>
              </w:rPr>
            </w:pPr>
            <w:r w:rsidRPr="004C5A6D">
              <w:rPr>
                <w:b/>
                <w:sz w:val="28"/>
                <w:szCs w:val="28"/>
              </w:rPr>
              <w:t>TELLING OUR STORY:</w:t>
            </w:r>
          </w:p>
          <w:p w14:paraId="5B2357AD" w14:textId="6B69E697" w:rsidR="00202B80" w:rsidRPr="00036039" w:rsidRDefault="00202B80" w:rsidP="00876CB3">
            <w:pPr>
              <w:pStyle w:val="Default"/>
              <w:spacing w:after="120"/>
              <w:rPr>
                <w:rFonts w:asciiTheme="minorHAnsi" w:hAnsiTheme="minorHAnsi" w:cstheme="minorHAnsi"/>
              </w:rPr>
            </w:pPr>
            <w:r w:rsidRPr="00036039">
              <w:rPr>
                <w:rFonts w:asciiTheme="minorHAnsi" w:hAnsiTheme="minorHAnsi" w:cstheme="minorHAnsi"/>
              </w:rPr>
              <w:t xml:space="preserve">The performance arrows for this indicator are black as the cost of maintenance is affected by several factors in addition to any decisions made around making efficiencies. Other factors may include policy decisions, cost of materials, geography and the weather. Note that this indicator includes winter maintenance costs. </w:t>
            </w:r>
          </w:p>
          <w:p w14:paraId="5CD4E70F" w14:textId="6EB10DCD" w:rsidR="00202B80" w:rsidRPr="00036039" w:rsidRDefault="00202B80" w:rsidP="00876CB3">
            <w:pPr>
              <w:pStyle w:val="Default"/>
              <w:spacing w:after="120"/>
              <w:rPr>
                <w:rFonts w:asciiTheme="minorHAnsi" w:hAnsiTheme="minorHAnsi" w:cstheme="minorHAnsi"/>
              </w:rPr>
            </w:pPr>
            <w:r w:rsidRPr="00036039">
              <w:rPr>
                <w:rFonts w:asciiTheme="minorHAnsi" w:hAnsiTheme="minorHAnsi" w:cstheme="minorHAnsi"/>
              </w:rPr>
              <w:t>The rankings for this indicator assume that cheapest is best. However, this should be considered in conjunction with the wider issues of road condition and other, uncontrollable, factors.</w:t>
            </w:r>
          </w:p>
          <w:p w14:paraId="6D3BD343" w14:textId="5621DC0C" w:rsidR="00A453ED" w:rsidRPr="00036039" w:rsidRDefault="00A453ED" w:rsidP="00876CB3">
            <w:pPr>
              <w:pStyle w:val="Default"/>
              <w:spacing w:after="120"/>
              <w:rPr>
                <w:rFonts w:asciiTheme="minorHAnsi" w:hAnsiTheme="minorHAnsi" w:cstheme="minorHAnsi"/>
              </w:rPr>
            </w:pPr>
            <w:r w:rsidRPr="00036039">
              <w:rPr>
                <w:rFonts w:asciiTheme="minorHAnsi" w:hAnsiTheme="minorHAnsi" w:cstheme="minorHAnsi"/>
              </w:rPr>
              <w:t>Last year's report suggested that the unit cost per kilometre was likely to improve in the next two years of annual statistics (2018/19 and 2019/20), due to an injection of capital</w:t>
            </w:r>
            <w:r w:rsidR="00E16AE0" w:rsidRPr="00036039">
              <w:rPr>
                <w:rFonts w:asciiTheme="minorHAnsi" w:hAnsiTheme="minorHAnsi" w:cstheme="minorHAnsi"/>
              </w:rPr>
              <w:t>. This appears to have been borne out by this year's reported results.</w:t>
            </w:r>
          </w:p>
          <w:p w14:paraId="3F4F570D" w14:textId="77777777" w:rsidR="00202B80" w:rsidRPr="00BB4C90" w:rsidRDefault="00202B80" w:rsidP="004B3E94">
            <w:pPr>
              <w:rPr>
                <w:rFonts w:ascii="Arial" w:hAnsi="Arial" w:cs="Arial"/>
                <w:szCs w:val="28"/>
              </w:rPr>
            </w:pPr>
          </w:p>
        </w:tc>
      </w:tr>
      <w:tr w:rsidR="00BB4C90" w:rsidRPr="004C5A6D" w14:paraId="1AD36F91" w14:textId="77777777" w:rsidTr="00D57F40">
        <w:trPr>
          <w:trHeight w:val="397"/>
          <w:jc w:val="center"/>
        </w:trPr>
        <w:tc>
          <w:tcPr>
            <w:tcW w:w="15309" w:type="dxa"/>
            <w:gridSpan w:val="4"/>
            <w:vAlign w:val="center"/>
          </w:tcPr>
          <w:p w14:paraId="5367CFF3" w14:textId="77777777" w:rsidR="00BB4C90" w:rsidRPr="00794345" w:rsidRDefault="00BB4C90" w:rsidP="00D57F40">
            <w:pPr>
              <w:rPr>
                <w:rFonts w:ascii="Arial" w:hAnsi="Arial" w:cs="Arial"/>
                <w:sz w:val="6"/>
                <w:szCs w:val="6"/>
              </w:rPr>
            </w:pPr>
          </w:p>
          <w:p w14:paraId="50A17C10" w14:textId="77777777" w:rsidR="00BB4C90" w:rsidRDefault="00BB4C90" w:rsidP="00D57F40">
            <w:pPr>
              <w:rPr>
                <w:b/>
                <w:sz w:val="28"/>
                <w:szCs w:val="28"/>
              </w:rPr>
            </w:pPr>
            <w:r>
              <w:rPr>
                <w:b/>
                <w:sz w:val="28"/>
                <w:szCs w:val="28"/>
              </w:rPr>
              <w:t>LOOKING FORWARD - EXPECTED IMPACT ON INDICATOR</w:t>
            </w:r>
            <w:r w:rsidRPr="004C5A6D">
              <w:rPr>
                <w:b/>
                <w:sz w:val="28"/>
                <w:szCs w:val="28"/>
              </w:rPr>
              <w:t>:</w:t>
            </w:r>
          </w:p>
          <w:p w14:paraId="4C779D80" w14:textId="77777777" w:rsidR="00FE2C8E" w:rsidRDefault="00FE2C8E" w:rsidP="00D57F40">
            <w:pPr>
              <w:rPr>
                <w:b/>
                <w:sz w:val="28"/>
                <w:szCs w:val="28"/>
              </w:rPr>
            </w:pPr>
          </w:p>
          <w:p w14:paraId="5B487ED5" w14:textId="09FC979F" w:rsidR="00FE2C8E" w:rsidRPr="00FE2C8E" w:rsidRDefault="00FE2C8E" w:rsidP="00D57F40">
            <w:pPr>
              <w:rPr>
                <w:sz w:val="24"/>
                <w:szCs w:val="24"/>
              </w:rPr>
            </w:pPr>
            <w:r w:rsidRPr="00FE2C8E">
              <w:rPr>
                <w:sz w:val="24"/>
                <w:szCs w:val="24"/>
              </w:rPr>
              <w:t xml:space="preserve">The Annual Status and Options Report continues to indicate that the council’s road network is making slow improvements. The availability of capital funds is unlikely to be as generous as in previous years which is likely to see a reduction in overall condition. We will continue to endeavour to maximise the investment into the road network through initiative such as the Strategic Timber Transport Fund etc. Deterioration modelling is used to help to ensure </w:t>
            </w:r>
            <w:r w:rsidRPr="00FE2C8E">
              <w:rPr>
                <w:sz w:val="24"/>
                <w:szCs w:val="24"/>
              </w:rPr>
              <w:lastRenderedPageBreak/>
              <w:t>that the most proportionate and cost effective treatments are delivered and that we continue to treat as larger surface area as we possibly can through utilising methods such as surface dressing, insitu recycling etc.</w:t>
            </w:r>
          </w:p>
          <w:p w14:paraId="42679532" w14:textId="77777777" w:rsidR="00BB4C90" w:rsidRPr="00CF1ED6" w:rsidRDefault="00BB4C90" w:rsidP="004B3E94">
            <w:pPr>
              <w:rPr>
                <w:rFonts w:ascii="Arial" w:hAnsi="Arial" w:cs="Arial"/>
              </w:rPr>
            </w:pPr>
          </w:p>
        </w:tc>
      </w:tr>
    </w:tbl>
    <w:p w14:paraId="29C9576B" w14:textId="77777777" w:rsidR="004B3E94" w:rsidRDefault="004B3E94">
      <w:r>
        <w:lastRenderedPageBreak/>
        <w:br w:type="page"/>
      </w:r>
    </w:p>
    <w:tbl>
      <w:tblPr>
        <w:tblStyle w:val="TableGrid3"/>
        <w:tblW w:w="15309" w:type="dxa"/>
        <w:jc w:val="center"/>
        <w:tblLook w:val="04A0" w:firstRow="1" w:lastRow="0" w:firstColumn="1" w:lastColumn="0" w:noHBand="0" w:noVBand="1"/>
      </w:tblPr>
      <w:tblGrid>
        <w:gridCol w:w="5949"/>
        <w:gridCol w:w="1417"/>
        <w:gridCol w:w="6237"/>
        <w:gridCol w:w="1706"/>
      </w:tblGrid>
      <w:tr w:rsidR="00912400" w:rsidRPr="005D65E6" w14:paraId="39289E85" w14:textId="77777777" w:rsidTr="00912400">
        <w:trPr>
          <w:trHeight w:val="794"/>
          <w:jc w:val="center"/>
        </w:trPr>
        <w:tc>
          <w:tcPr>
            <w:tcW w:w="15309" w:type="dxa"/>
            <w:gridSpan w:val="4"/>
            <w:vAlign w:val="center"/>
          </w:tcPr>
          <w:p w14:paraId="71DFFE38" w14:textId="670AD925" w:rsidR="00912400" w:rsidRPr="005D65E6" w:rsidRDefault="00912400" w:rsidP="00473295">
            <w:pPr>
              <w:rPr>
                <w:b/>
                <w:sz w:val="32"/>
              </w:rPr>
            </w:pPr>
            <w:r w:rsidRPr="005D65E6">
              <w:rPr>
                <w:b/>
                <w:sz w:val="32"/>
              </w:rPr>
              <w:lastRenderedPageBreak/>
              <w:t xml:space="preserve">SERVICE: </w:t>
            </w:r>
            <w:r w:rsidR="00473295" w:rsidRPr="005D65E6">
              <w:rPr>
                <w:b/>
                <w:sz w:val="32"/>
              </w:rPr>
              <w:t xml:space="preserve">ROADS AND </w:t>
            </w:r>
            <w:r w:rsidR="00473295">
              <w:rPr>
                <w:b/>
                <w:sz w:val="32"/>
              </w:rPr>
              <w:t>INFRASTRUCTURE</w:t>
            </w:r>
          </w:p>
        </w:tc>
      </w:tr>
      <w:tr w:rsidR="00B674DF" w:rsidRPr="005D3B71" w14:paraId="13FEBD27" w14:textId="77777777" w:rsidTr="002063EA">
        <w:trPr>
          <w:trHeight w:val="567"/>
          <w:jc w:val="center"/>
        </w:trPr>
        <w:tc>
          <w:tcPr>
            <w:tcW w:w="15309" w:type="dxa"/>
            <w:gridSpan w:val="4"/>
            <w:vAlign w:val="center"/>
          </w:tcPr>
          <w:p w14:paraId="66563366" w14:textId="777B25FA" w:rsidR="00B674DF" w:rsidRPr="005D3B71" w:rsidRDefault="00B674DF" w:rsidP="007F55D4">
            <w:pPr>
              <w:pStyle w:val="Heading1"/>
              <w:spacing w:before="0"/>
              <w:outlineLvl w:val="0"/>
              <w:rPr>
                <w:b/>
                <w:color w:val="auto"/>
              </w:rPr>
            </w:pPr>
            <w:bookmarkStart w:id="42" w:name="_Toc56757720"/>
            <w:r w:rsidRPr="005D3B71">
              <w:rPr>
                <w:b/>
                <w:color w:val="auto"/>
              </w:rPr>
              <w:t xml:space="preserve">INDICATOR REF: ENV4b, c - </w:t>
            </w:r>
            <w:r w:rsidR="00C56EE4" w:rsidRPr="005D3B71">
              <w:rPr>
                <w:b/>
                <w:color w:val="auto"/>
              </w:rPr>
              <w:t>Percentage</w:t>
            </w:r>
            <w:r w:rsidRPr="005D3B71">
              <w:rPr>
                <w:b/>
                <w:color w:val="auto"/>
              </w:rPr>
              <w:t xml:space="preserve"> of roads that should be considered for maintenance treatment</w:t>
            </w:r>
            <w:r w:rsidR="009F529C" w:rsidRPr="005D3B71">
              <w:rPr>
                <w:b/>
                <w:color w:val="auto"/>
              </w:rPr>
              <w:t xml:space="preserve"> by road class</w:t>
            </w:r>
            <w:bookmarkEnd w:id="42"/>
            <w:r w:rsidR="00CA7DF1" w:rsidRPr="005D3B71">
              <w:rPr>
                <w:b/>
                <w:color w:val="auto"/>
              </w:rPr>
              <w:t xml:space="preserve"> </w:t>
            </w:r>
          </w:p>
        </w:tc>
      </w:tr>
      <w:tr w:rsidR="004C5A6D" w:rsidRPr="004C5A6D" w14:paraId="7BC15092" w14:textId="77777777" w:rsidTr="002063EA">
        <w:trPr>
          <w:trHeight w:val="567"/>
          <w:jc w:val="center"/>
        </w:trPr>
        <w:tc>
          <w:tcPr>
            <w:tcW w:w="15309" w:type="dxa"/>
            <w:gridSpan w:val="4"/>
            <w:vAlign w:val="center"/>
          </w:tcPr>
          <w:p w14:paraId="2EAB46A1" w14:textId="77777777" w:rsidR="004C5A6D" w:rsidRPr="004C5A6D" w:rsidRDefault="004C5A6D" w:rsidP="009A329B">
            <w:pPr>
              <w:rPr>
                <w:b/>
                <w:sz w:val="28"/>
                <w:szCs w:val="28"/>
              </w:rPr>
            </w:pPr>
            <w:r w:rsidRPr="004C5A6D">
              <w:rPr>
                <w:b/>
                <w:sz w:val="28"/>
                <w:szCs w:val="28"/>
              </w:rPr>
              <w:t xml:space="preserve">INDICATOR REF: ENV4b - </w:t>
            </w:r>
            <w:r w:rsidR="009756E1">
              <w:rPr>
                <w:b/>
                <w:sz w:val="28"/>
                <w:szCs w:val="28"/>
              </w:rPr>
              <w:t>Percentage</w:t>
            </w:r>
            <w:r w:rsidRPr="004C5A6D">
              <w:rPr>
                <w:b/>
                <w:sz w:val="28"/>
                <w:szCs w:val="28"/>
              </w:rPr>
              <w:t xml:space="preserve"> of A class roads that should be considered for maintenance treatment</w:t>
            </w:r>
          </w:p>
        </w:tc>
      </w:tr>
      <w:tr w:rsidR="00E06E41" w:rsidRPr="004C5A6D" w14:paraId="38305B90" w14:textId="77777777" w:rsidTr="002063EA">
        <w:trPr>
          <w:trHeight w:val="454"/>
          <w:jc w:val="center"/>
        </w:trPr>
        <w:tc>
          <w:tcPr>
            <w:tcW w:w="15309" w:type="dxa"/>
            <w:gridSpan w:val="4"/>
            <w:vAlign w:val="center"/>
          </w:tcPr>
          <w:p w14:paraId="423CF92F" w14:textId="1E2778F2" w:rsidR="00E06E41" w:rsidRPr="00A0490C" w:rsidRDefault="00E06E41" w:rsidP="004B3E94">
            <w:pPr>
              <w:jc w:val="center"/>
              <w:rPr>
                <w:b/>
                <w:color w:val="0070C0"/>
                <w:sz w:val="28"/>
                <w:szCs w:val="28"/>
              </w:rPr>
            </w:pPr>
            <w:r w:rsidRPr="00C577BD">
              <w:rPr>
                <w:b/>
                <w:color w:val="0070C0"/>
                <w:sz w:val="28"/>
                <w:szCs w:val="28"/>
              </w:rPr>
              <w:t>Performance Range:</w:t>
            </w:r>
            <w:r w:rsidR="00A0490C" w:rsidRPr="004C7782">
              <w:rPr>
                <w:b/>
                <w:color w:val="0070C0"/>
                <w:sz w:val="28"/>
                <w:szCs w:val="28"/>
              </w:rPr>
              <w:t xml:space="preserve"> </w:t>
            </w:r>
            <w:r w:rsidR="00301A8E">
              <w:rPr>
                <w:b/>
                <w:color w:val="0070C0"/>
                <w:sz w:val="28"/>
                <w:szCs w:val="28"/>
              </w:rPr>
              <w:t>17.24</w:t>
            </w:r>
            <w:r w:rsidR="00EC4099">
              <w:rPr>
                <w:b/>
                <w:color w:val="0070C0"/>
                <w:sz w:val="28"/>
                <w:szCs w:val="28"/>
              </w:rPr>
              <w:t xml:space="preserve">% to </w:t>
            </w:r>
            <w:r w:rsidR="00A6470A">
              <w:rPr>
                <w:b/>
                <w:color w:val="0070C0"/>
                <w:sz w:val="28"/>
                <w:szCs w:val="28"/>
              </w:rPr>
              <w:t>41.80</w:t>
            </w:r>
            <w:r w:rsidR="00A0490C">
              <w:rPr>
                <w:b/>
                <w:color w:val="0070C0"/>
                <w:sz w:val="28"/>
                <w:szCs w:val="28"/>
              </w:rPr>
              <w:t xml:space="preserve">% </w:t>
            </w:r>
            <w:r w:rsidR="00F404BF">
              <w:rPr>
                <w:b/>
                <w:color w:val="0070C0"/>
                <w:sz w:val="28"/>
                <w:szCs w:val="28"/>
              </w:rPr>
              <w:t xml:space="preserve"> </w:t>
            </w:r>
            <w:r w:rsidR="00BE08CC" w:rsidRPr="00BE08CC">
              <w:rPr>
                <w:b/>
                <w:color w:val="0070C0"/>
                <w:sz w:val="28"/>
                <w:szCs w:val="28"/>
              </w:rPr>
              <w:t>(Lowest is best)</w:t>
            </w:r>
            <w:r w:rsidR="00A0490C">
              <w:rPr>
                <w:b/>
                <w:color w:val="0070C0"/>
                <w:sz w:val="28"/>
                <w:szCs w:val="28"/>
              </w:rPr>
              <w:t xml:space="preserve"> </w:t>
            </w:r>
          </w:p>
        </w:tc>
      </w:tr>
      <w:tr w:rsidR="004C5A6D" w:rsidRPr="004C5A6D" w14:paraId="11CAB1A2" w14:textId="77777777" w:rsidTr="00E83409">
        <w:trPr>
          <w:trHeight w:val="397"/>
          <w:jc w:val="center"/>
        </w:trPr>
        <w:tc>
          <w:tcPr>
            <w:tcW w:w="7366" w:type="dxa"/>
            <w:gridSpan w:val="2"/>
            <w:shd w:val="clear" w:color="auto" w:fill="D9E2F3" w:themeFill="accent5" w:themeFillTint="33"/>
            <w:vAlign w:val="center"/>
          </w:tcPr>
          <w:p w14:paraId="323574D6" w14:textId="77777777" w:rsidR="004C5A6D" w:rsidRPr="004C5A6D" w:rsidRDefault="004C5A6D" w:rsidP="009A329B">
            <w:pPr>
              <w:jc w:val="center"/>
              <w:rPr>
                <w:b/>
                <w:sz w:val="28"/>
                <w:szCs w:val="28"/>
              </w:rPr>
            </w:pPr>
            <w:r w:rsidRPr="004C5A6D">
              <w:rPr>
                <w:b/>
                <w:sz w:val="28"/>
                <w:szCs w:val="28"/>
              </w:rPr>
              <w:t>ARGYLL AND BUTE</w:t>
            </w:r>
          </w:p>
        </w:tc>
        <w:tc>
          <w:tcPr>
            <w:tcW w:w="7943" w:type="dxa"/>
            <w:gridSpan w:val="2"/>
            <w:shd w:val="clear" w:color="auto" w:fill="D9E2F3" w:themeFill="accent5" w:themeFillTint="33"/>
            <w:vAlign w:val="center"/>
          </w:tcPr>
          <w:p w14:paraId="47D00132" w14:textId="77777777" w:rsidR="004C5A6D" w:rsidRPr="004C5A6D" w:rsidRDefault="004C5A6D" w:rsidP="009A329B">
            <w:pPr>
              <w:jc w:val="center"/>
              <w:rPr>
                <w:b/>
                <w:sz w:val="28"/>
                <w:szCs w:val="28"/>
              </w:rPr>
            </w:pPr>
            <w:r w:rsidRPr="004C5A6D">
              <w:rPr>
                <w:b/>
                <w:sz w:val="28"/>
                <w:szCs w:val="28"/>
              </w:rPr>
              <w:t>SCOTLAND</w:t>
            </w:r>
          </w:p>
        </w:tc>
      </w:tr>
      <w:tr w:rsidR="004C5A6D" w:rsidRPr="004C5A6D" w14:paraId="33F4737F" w14:textId="77777777" w:rsidTr="00BB4C90">
        <w:trPr>
          <w:trHeight w:val="397"/>
          <w:jc w:val="center"/>
        </w:trPr>
        <w:tc>
          <w:tcPr>
            <w:tcW w:w="7366" w:type="dxa"/>
            <w:gridSpan w:val="2"/>
            <w:vAlign w:val="center"/>
          </w:tcPr>
          <w:p w14:paraId="280D5EDB" w14:textId="6B578F2A" w:rsidR="004C5A6D" w:rsidRPr="000C25E0" w:rsidRDefault="00A6470A" w:rsidP="009A329B">
            <w:pPr>
              <w:jc w:val="center"/>
              <w:rPr>
                <w:b/>
                <w:sz w:val="28"/>
                <w:szCs w:val="28"/>
              </w:rPr>
            </w:pPr>
            <w:r>
              <w:rPr>
                <w:b/>
                <w:sz w:val="28"/>
                <w:szCs w:val="28"/>
              </w:rPr>
              <w:t>41.80</w:t>
            </w:r>
            <w:r w:rsidR="004B3E94">
              <w:rPr>
                <w:b/>
                <w:sz w:val="28"/>
                <w:szCs w:val="28"/>
              </w:rPr>
              <w:t>%</w:t>
            </w:r>
          </w:p>
        </w:tc>
        <w:tc>
          <w:tcPr>
            <w:tcW w:w="7943" w:type="dxa"/>
            <w:gridSpan w:val="2"/>
            <w:vAlign w:val="center"/>
          </w:tcPr>
          <w:p w14:paraId="23FCCA95" w14:textId="0ECAAC12" w:rsidR="004C5A6D" w:rsidRPr="004C5A6D" w:rsidRDefault="00A6470A" w:rsidP="009A329B">
            <w:pPr>
              <w:jc w:val="center"/>
              <w:rPr>
                <w:b/>
                <w:sz w:val="28"/>
                <w:szCs w:val="28"/>
              </w:rPr>
            </w:pPr>
            <w:r>
              <w:rPr>
                <w:b/>
                <w:sz w:val="28"/>
                <w:szCs w:val="28"/>
              </w:rPr>
              <w:t>30.03</w:t>
            </w:r>
            <w:r w:rsidR="004B3E94">
              <w:rPr>
                <w:b/>
                <w:sz w:val="28"/>
                <w:szCs w:val="28"/>
              </w:rPr>
              <w:t>%</w:t>
            </w:r>
          </w:p>
        </w:tc>
      </w:tr>
      <w:tr w:rsidR="00BB4C90" w:rsidRPr="004C5A6D" w14:paraId="6B440D26" w14:textId="77777777" w:rsidTr="00BB4C90">
        <w:trPr>
          <w:trHeight w:val="397"/>
          <w:jc w:val="center"/>
        </w:trPr>
        <w:tc>
          <w:tcPr>
            <w:tcW w:w="5949" w:type="dxa"/>
            <w:vAlign w:val="center"/>
          </w:tcPr>
          <w:p w14:paraId="43FF9FE9" w14:textId="0ED2F1BD" w:rsidR="00BB4C90" w:rsidRPr="000C25E0" w:rsidRDefault="00BB4C90" w:rsidP="001D3DEE">
            <w:pPr>
              <w:jc w:val="center"/>
              <w:rPr>
                <w:b/>
                <w:sz w:val="28"/>
                <w:szCs w:val="28"/>
              </w:rPr>
            </w:pPr>
            <w:r w:rsidRPr="00721B18">
              <w:rPr>
                <w:b/>
                <w:sz w:val="28"/>
                <w:szCs w:val="28"/>
              </w:rPr>
              <w:t>CHANGE 201</w:t>
            </w:r>
            <w:r w:rsidR="001D3DEE">
              <w:rPr>
                <w:b/>
                <w:sz w:val="28"/>
                <w:szCs w:val="28"/>
              </w:rPr>
              <w:t>6</w:t>
            </w:r>
            <w:r w:rsidRPr="00721B18">
              <w:rPr>
                <w:b/>
                <w:sz w:val="28"/>
                <w:szCs w:val="28"/>
              </w:rPr>
              <w:t>/1</w:t>
            </w:r>
            <w:r w:rsidR="004B3E94">
              <w:rPr>
                <w:b/>
                <w:sz w:val="28"/>
                <w:szCs w:val="28"/>
              </w:rPr>
              <w:t>8</w:t>
            </w:r>
            <w:r w:rsidRPr="00721B18">
              <w:rPr>
                <w:b/>
                <w:sz w:val="28"/>
                <w:szCs w:val="28"/>
              </w:rPr>
              <w:t xml:space="preserve"> TO </w:t>
            </w:r>
            <w:r>
              <w:rPr>
                <w:b/>
                <w:sz w:val="28"/>
                <w:szCs w:val="28"/>
              </w:rPr>
              <w:t>201</w:t>
            </w:r>
            <w:r w:rsidR="001D3DEE">
              <w:rPr>
                <w:b/>
                <w:sz w:val="28"/>
                <w:szCs w:val="28"/>
              </w:rPr>
              <w:t>7</w:t>
            </w:r>
            <w:r>
              <w:rPr>
                <w:b/>
                <w:sz w:val="28"/>
                <w:szCs w:val="28"/>
              </w:rPr>
              <w:t>/1</w:t>
            </w:r>
            <w:r w:rsidR="004B3E94">
              <w:rPr>
                <w:b/>
                <w:sz w:val="28"/>
                <w:szCs w:val="28"/>
              </w:rPr>
              <w:t>9</w:t>
            </w:r>
          </w:p>
        </w:tc>
        <w:tc>
          <w:tcPr>
            <w:tcW w:w="1417" w:type="dxa"/>
            <w:vAlign w:val="center"/>
          </w:tcPr>
          <w:p w14:paraId="40A68024" w14:textId="6CC5BC3D" w:rsidR="00BB4C90" w:rsidRPr="000C25E0" w:rsidRDefault="00A6470A" w:rsidP="009A329B">
            <w:pPr>
              <w:jc w:val="center"/>
              <w:rPr>
                <w:b/>
                <w:sz w:val="28"/>
                <w:szCs w:val="28"/>
              </w:rPr>
            </w:pPr>
            <w:r>
              <w:rPr>
                <w:b/>
                <w:sz w:val="28"/>
                <w:szCs w:val="28"/>
              </w:rPr>
              <w:t>-1.68</w:t>
            </w:r>
            <w:r w:rsidR="00426AE2">
              <w:rPr>
                <w:b/>
                <w:sz w:val="28"/>
                <w:szCs w:val="28"/>
              </w:rPr>
              <w:t xml:space="preserve"> </w:t>
            </w:r>
            <w:r w:rsidR="00426AE2" w:rsidRPr="00EC5E64">
              <w:rPr>
                <w:b/>
                <w:color w:val="00B050"/>
                <w:sz w:val="28"/>
                <w:szCs w:val="28"/>
              </w:rPr>
              <w:sym w:font="Wingdings" w:char="F0EA"/>
            </w:r>
          </w:p>
        </w:tc>
        <w:tc>
          <w:tcPr>
            <w:tcW w:w="6237" w:type="dxa"/>
            <w:vAlign w:val="center"/>
          </w:tcPr>
          <w:p w14:paraId="4E8EBE64" w14:textId="73493CB6" w:rsidR="00BB4C90" w:rsidRDefault="00BB4C90" w:rsidP="001D3DEE">
            <w:pPr>
              <w:jc w:val="center"/>
              <w:rPr>
                <w:b/>
                <w:sz w:val="28"/>
                <w:szCs w:val="28"/>
              </w:rPr>
            </w:pPr>
            <w:r>
              <w:rPr>
                <w:sz w:val="28"/>
                <w:szCs w:val="28"/>
              </w:rPr>
              <w:t>CHANGE 201</w:t>
            </w:r>
            <w:r w:rsidR="001D3DEE">
              <w:rPr>
                <w:sz w:val="28"/>
                <w:szCs w:val="28"/>
              </w:rPr>
              <w:t>6</w:t>
            </w:r>
            <w:r>
              <w:rPr>
                <w:sz w:val="28"/>
                <w:szCs w:val="28"/>
              </w:rPr>
              <w:t>/1</w:t>
            </w:r>
            <w:r w:rsidR="004B3E94">
              <w:rPr>
                <w:sz w:val="28"/>
                <w:szCs w:val="28"/>
              </w:rPr>
              <w:t>8</w:t>
            </w:r>
            <w:r>
              <w:rPr>
                <w:sz w:val="28"/>
                <w:szCs w:val="28"/>
              </w:rPr>
              <w:t xml:space="preserve"> TO 201</w:t>
            </w:r>
            <w:r w:rsidR="001D3DEE">
              <w:rPr>
                <w:sz w:val="28"/>
                <w:szCs w:val="28"/>
              </w:rPr>
              <w:t>7</w:t>
            </w:r>
            <w:r>
              <w:rPr>
                <w:sz w:val="28"/>
                <w:szCs w:val="28"/>
              </w:rPr>
              <w:t>/1</w:t>
            </w:r>
            <w:r w:rsidR="004B3E94">
              <w:rPr>
                <w:sz w:val="28"/>
                <w:szCs w:val="28"/>
              </w:rPr>
              <w:t>9</w:t>
            </w:r>
          </w:p>
        </w:tc>
        <w:tc>
          <w:tcPr>
            <w:tcW w:w="1706" w:type="dxa"/>
            <w:vAlign w:val="center"/>
          </w:tcPr>
          <w:p w14:paraId="552AEFF2" w14:textId="7BA65ED6" w:rsidR="00BB4C90" w:rsidRDefault="00426AE2" w:rsidP="009A329B">
            <w:pPr>
              <w:jc w:val="center"/>
              <w:rPr>
                <w:b/>
                <w:sz w:val="28"/>
                <w:szCs w:val="28"/>
              </w:rPr>
            </w:pPr>
            <w:r>
              <w:rPr>
                <w:sz w:val="28"/>
                <w:szCs w:val="28"/>
              </w:rPr>
              <w:t xml:space="preserve">-0.13 </w:t>
            </w:r>
            <w:r w:rsidRPr="00EC5E64">
              <w:rPr>
                <w:b/>
                <w:color w:val="00B050"/>
                <w:sz w:val="28"/>
                <w:szCs w:val="28"/>
              </w:rPr>
              <w:sym w:font="Wingdings" w:char="F0EA"/>
            </w:r>
          </w:p>
        </w:tc>
      </w:tr>
      <w:tr w:rsidR="00BB4C90" w:rsidRPr="004C5A6D" w14:paraId="66EEF16C" w14:textId="77777777" w:rsidTr="00BB4C90">
        <w:trPr>
          <w:trHeight w:val="397"/>
          <w:jc w:val="center"/>
        </w:trPr>
        <w:tc>
          <w:tcPr>
            <w:tcW w:w="5949" w:type="dxa"/>
            <w:vAlign w:val="center"/>
          </w:tcPr>
          <w:p w14:paraId="2CB95CC6" w14:textId="41BC511B" w:rsidR="00BB4C90" w:rsidRPr="00721B18" w:rsidRDefault="00BB4C90" w:rsidP="001D3DEE">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w:t>
            </w:r>
            <w:r w:rsidR="001D3DEE">
              <w:rPr>
                <w:b/>
                <w:sz w:val="28"/>
                <w:szCs w:val="28"/>
              </w:rPr>
              <w:t>7</w:t>
            </w:r>
            <w:r>
              <w:rPr>
                <w:b/>
                <w:sz w:val="28"/>
                <w:szCs w:val="28"/>
              </w:rPr>
              <w:t>/1</w:t>
            </w:r>
            <w:r w:rsidR="004B3E94">
              <w:rPr>
                <w:b/>
                <w:sz w:val="28"/>
                <w:szCs w:val="28"/>
              </w:rPr>
              <w:t>9</w:t>
            </w:r>
          </w:p>
        </w:tc>
        <w:tc>
          <w:tcPr>
            <w:tcW w:w="1417" w:type="dxa"/>
            <w:vAlign w:val="center"/>
          </w:tcPr>
          <w:p w14:paraId="5E28D60B" w14:textId="5D8B4B28" w:rsidR="00BB4C90" w:rsidRPr="000C25E0" w:rsidRDefault="00A6470A" w:rsidP="009A329B">
            <w:pPr>
              <w:jc w:val="center"/>
              <w:rPr>
                <w:b/>
                <w:sz w:val="28"/>
                <w:szCs w:val="28"/>
              </w:rPr>
            </w:pPr>
            <w:r>
              <w:rPr>
                <w:b/>
                <w:sz w:val="28"/>
                <w:szCs w:val="28"/>
              </w:rPr>
              <w:t>-2.65</w:t>
            </w:r>
            <w:r w:rsidR="00426AE2">
              <w:rPr>
                <w:b/>
                <w:sz w:val="28"/>
                <w:szCs w:val="28"/>
              </w:rPr>
              <w:t xml:space="preserve"> </w:t>
            </w:r>
            <w:r w:rsidR="00426AE2" w:rsidRPr="00EC5E64">
              <w:rPr>
                <w:b/>
                <w:color w:val="00B050"/>
                <w:sz w:val="28"/>
                <w:szCs w:val="28"/>
              </w:rPr>
              <w:sym w:font="Wingdings" w:char="F0EA"/>
            </w:r>
          </w:p>
        </w:tc>
        <w:tc>
          <w:tcPr>
            <w:tcW w:w="6237" w:type="dxa"/>
            <w:tcBorders>
              <w:bottom w:val="single" w:sz="4" w:space="0" w:color="auto"/>
            </w:tcBorders>
            <w:vAlign w:val="center"/>
          </w:tcPr>
          <w:p w14:paraId="5FA85416" w14:textId="4AD3FD97" w:rsidR="00BB4C90" w:rsidRDefault="00BB4C90" w:rsidP="001D3DEE">
            <w:pPr>
              <w:jc w:val="center"/>
              <w:rPr>
                <w:sz w:val="28"/>
                <w:szCs w:val="28"/>
              </w:rPr>
            </w:pPr>
            <w:r>
              <w:rPr>
                <w:sz w:val="28"/>
                <w:szCs w:val="28"/>
              </w:rPr>
              <w:t xml:space="preserve">CHANGE </w:t>
            </w:r>
            <w:r w:rsidRPr="00903E39">
              <w:rPr>
                <w:sz w:val="28"/>
                <w:szCs w:val="28"/>
              </w:rPr>
              <w:t xml:space="preserve">BASE YEAR </w:t>
            </w:r>
            <w:r>
              <w:rPr>
                <w:sz w:val="28"/>
                <w:szCs w:val="28"/>
              </w:rPr>
              <w:t>TO 201</w:t>
            </w:r>
            <w:r w:rsidR="001D3DEE">
              <w:rPr>
                <w:sz w:val="28"/>
                <w:szCs w:val="28"/>
              </w:rPr>
              <w:t>7</w:t>
            </w:r>
            <w:r>
              <w:rPr>
                <w:sz w:val="28"/>
                <w:szCs w:val="28"/>
              </w:rPr>
              <w:t>/1</w:t>
            </w:r>
            <w:r w:rsidR="004B3E94">
              <w:rPr>
                <w:sz w:val="28"/>
                <w:szCs w:val="28"/>
              </w:rPr>
              <w:t>9</w:t>
            </w:r>
          </w:p>
        </w:tc>
        <w:tc>
          <w:tcPr>
            <w:tcW w:w="1706" w:type="dxa"/>
            <w:tcBorders>
              <w:bottom w:val="single" w:sz="4" w:space="0" w:color="auto"/>
            </w:tcBorders>
            <w:vAlign w:val="center"/>
          </w:tcPr>
          <w:p w14:paraId="57AEC601" w14:textId="32A0F8C1" w:rsidR="00BB4C90" w:rsidRDefault="00426AE2" w:rsidP="009A329B">
            <w:pPr>
              <w:jc w:val="center"/>
              <w:rPr>
                <w:sz w:val="28"/>
                <w:szCs w:val="28"/>
              </w:rPr>
            </w:pPr>
            <w:r>
              <w:rPr>
                <w:sz w:val="28"/>
                <w:szCs w:val="28"/>
              </w:rPr>
              <w:t xml:space="preserve">-0.27 </w:t>
            </w:r>
            <w:r w:rsidRPr="00EC5E64">
              <w:rPr>
                <w:b/>
                <w:color w:val="00B050"/>
                <w:sz w:val="28"/>
                <w:szCs w:val="28"/>
              </w:rPr>
              <w:sym w:font="Wingdings" w:char="F0EA"/>
            </w:r>
          </w:p>
        </w:tc>
      </w:tr>
      <w:tr w:rsidR="00BB4C90" w:rsidRPr="004C5A6D" w14:paraId="559DFB55" w14:textId="77777777" w:rsidTr="00B318EA">
        <w:trPr>
          <w:trHeight w:val="397"/>
          <w:jc w:val="center"/>
        </w:trPr>
        <w:tc>
          <w:tcPr>
            <w:tcW w:w="7366" w:type="dxa"/>
            <w:gridSpan w:val="2"/>
            <w:tcBorders>
              <w:bottom w:val="single" w:sz="4" w:space="0" w:color="auto"/>
            </w:tcBorders>
            <w:vAlign w:val="center"/>
          </w:tcPr>
          <w:p w14:paraId="77B0AD00" w14:textId="49E05292" w:rsidR="00BB4C90" w:rsidRPr="000C25E0" w:rsidRDefault="00BB4C90" w:rsidP="004B3E94">
            <w:pPr>
              <w:jc w:val="center"/>
              <w:rPr>
                <w:b/>
                <w:sz w:val="28"/>
                <w:szCs w:val="28"/>
              </w:rPr>
            </w:pPr>
            <w:r w:rsidRPr="000C25E0">
              <w:rPr>
                <w:b/>
                <w:sz w:val="28"/>
                <w:szCs w:val="28"/>
              </w:rPr>
              <w:t>RANK POSITION</w:t>
            </w:r>
            <w:r w:rsidRPr="00426AE2">
              <w:rPr>
                <w:b/>
                <w:sz w:val="28"/>
                <w:szCs w:val="28"/>
              </w:rPr>
              <w:t>:</w:t>
            </w:r>
            <w:r w:rsidR="00513443" w:rsidRPr="00426AE2">
              <w:rPr>
                <w:b/>
                <w:sz w:val="28"/>
                <w:szCs w:val="28"/>
              </w:rPr>
              <w:t xml:space="preserve">  </w:t>
            </w:r>
            <w:r w:rsidR="00A6470A" w:rsidRPr="00426AE2">
              <w:rPr>
                <w:b/>
                <w:sz w:val="28"/>
                <w:szCs w:val="28"/>
              </w:rPr>
              <w:t>32</w:t>
            </w:r>
            <w:r w:rsidR="00513443" w:rsidRPr="00426AE2">
              <w:rPr>
                <w:b/>
                <w:sz w:val="28"/>
                <w:szCs w:val="28"/>
              </w:rPr>
              <w:t xml:space="preserve">  </w:t>
            </w:r>
            <w:r w:rsidRPr="000C25E0">
              <w:rPr>
                <w:b/>
                <w:sz w:val="28"/>
                <w:szCs w:val="28"/>
              </w:rPr>
              <w:t xml:space="preserve">RANK MOVEMENT: </w:t>
            </w:r>
            <w:r w:rsidR="00A6470A">
              <w:rPr>
                <w:b/>
                <w:sz w:val="28"/>
                <w:szCs w:val="28"/>
              </w:rPr>
              <w:t>0</w:t>
            </w:r>
            <w:r w:rsidR="00426AE2">
              <w:rPr>
                <w:b/>
                <w:sz w:val="28"/>
                <w:szCs w:val="28"/>
              </w:rPr>
              <w:t xml:space="preserve"> </w:t>
            </w:r>
            <w:r w:rsidR="00426AE2" w:rsidRPr="00A83E3B">
              <w:rPr>
                <w:b/>
                <w:color w:val="0070C0"/>
                <w:sz w:val="28"/>
                <w:szCs w:val="28"/>
              </w:rPr>
              <w:sym w:font="Wingdings" w:char="F0E8"/>
            </w:r>
          </w:p>
        </w:tc>
        <w:tc>
          <w:tcPr>
            <w:tcW w:w="7943" w:type="dxa"/>
            <w:gridSpan w:val="2"/>
            <w:tcBorders>
              <w:bottom w:val="nil"/>
            </w:tcBorders>
            <w:shd w:val="clear" w:color="auto" w:fill="D9D9D9" w:themeFill="background1" w:themeFillShade="D9"/>
            <w:vAlign w:val="center"/>
          </w:tcPr>
          <w:p w14:paraId="4FE9C100" w14:textId="77777777" w:rsidR="00BB4C90" w:rsidRDefault="00BB4C90" w:rsidP="009A329B">
            <w:pPr>
              <w:jc w:val="center"/>
              <w:rPr>
                <w:sz w:val="28"/>
                <w:szCs w:val="28"/>
              </w:rPr>
            </w:pPr>
          </w:p>
        </w:tc>
      </w:tr>
      <w:tr w:rsidR="00BB4C90" w:rsidRPr="004C5A6D" w14:paraId="3832D1F7" w14:textId="77777777" w:rsidTr="00B318EA">
        <w:trPr>
          <w:trHeight w:val="397"/>
          <w:jc w:val="center"/>
        </w:trPr>
        <w:tc>
          <w:tcPr>
            <w:tcW w:w="7366" w:type="dxa"/>
            <w:gridSpan w:val="2"/>
            <w:tcBorders>
              <w:bottom w:val="nil"/>
            </w:tcBorders>
            <w:shd w:val="clear" w:color="auto" w:fill="D9E2F3" w:themeFill="accent5" w:themeFillTint="33"/>
            <w:vAlign w:val="center"/>
          </w:tcPr>
          <w:p w14:paraId="28BFE005" w14:textId="0AC71C92" w:rsidR="00BB4C90" w:rsidRPr="000C25E0" w:rsidRDefault="00BB4C90" w:rsidP="004B3E94">
            <w:pPr>
              <w:jc w:val="center"/>
              <w:rPr>
                <w:b/>
                <w:sz w:val="28"/>
                <w:szCs w:val="28"/>
              </w:rPr>
            </w:pPr>
            <w:r>
              <w:rPr>
                <w:b/>
                <w:sz w:val="28"/>
                <w:szCs w:val="28"/>
              </w:rPr>
              <w:t>FAMILY GROUP RANKING 201</w:t>
            </w:r>
            <w:r w:rsidR="004B3E94">
              <w:rPr>
                <w:b/>
                <w:sz w:val="28"/>
                <w:szCs w:val="28"/>
              </w:rPr>
              <w:t>8</w:t>
            </w:r>
            <w:r>
              <w:rPr>
                <w:b/>
                <w:sz w:val="28"/>
                <w:szCs w:val="28"/>
              </w:rPr>
              <w:t>/1</w:t>
            </w:r>
            <w:r w:rsidR="004B3E94">
              <w:rPr>
                <w:b/>
                <w:sz w:val="28"/>
                <w:szCs w:val="28"/>
              </w:rPr>
              <w:t>9</w:t>
            </w:r>
          </w:p>
        </w:tc>
        <w:tc>
          <w:tcPr>
            <w:tcW w:w="7943" w:type="dxa"/>
            <w:gridSpan w:val="2"/>
            <w:tcBorders>
              <w:top w:val="nil"/>
              <w:bottom w:val="nil"/>
            </w:tcBorders>
            <w:shd w:val="clear" w:color="auto" w:fill="D9D9D9" w:themeFill="background1" w:themeFillShade="D9"/>
            <w:vAlign w:val="center"/>
          </w:tcPr>
          <w:p w14:paraId="6401E81F" w14:textId="77777777" w:rsidR="00BB4C90" w:rsidRDefault="00BB4C90" w:rsidP="009A329B">
            <w:pPr>
              <w:jc w:val="center"/>
              <w:rPr>
                <w:sz w:val="28"/>
                <w:szCs w:val="28"/>
              </w:rPr>
            </w:pPr>
          </w:p>
        </w:tc>
      </w:tr>
      <w:tr w:rsidR="00BB4C90" w:rsidRPr="004C5A6D" w14:paraId="4B5EDC82" w14:textId="77777777" w:rsidTr="00B318EA">
        <w:trPr>
          <w:trHeight w:val="397"/>
          <w:jc w:val="center"/>
        </w:trPr>
        <w:tc>
          <w:tcPr>
            <w:tcW w:w="7366" w:type="dxa"/>
            <w:gridSpan w:val="2"/>
            <w:tcBorders>
              <w:top w:val="nil"/>
              <w:bottom w:val="single" w:sz="4" w:space="0" w:color="auto"/>
            </w:tcBorders>
            <w:shd w:val="clear" w:color="auto" w:fill="D9E2F3" w:themeFill="accent5" w:themeFillTint="33"/>
            <w:vAlign w:val="center"/>
          </w:tcPr>
          <w:p w14:paraId="10ADCF5E" w14:textId="67F8F598" w:rsidR="00BB4C90" w:rsidRPr="000C25E0" w:rsidRDefault="00BB4C90" w:rsidP="004B3E94">
            <w:pPr>
              <w:jc w:val="center"/>
              <w:rPr>
                <w:b/>
                <w:sz w:val="28"/>
                <w:szCs w:val="28"/>
              </w:rPr>
            </w:pPr>
            <w:r>
              <w:rPr>
                <w:b/>
                <w:sz w:val="28"/>
                <w:szCs w:val="28"/>
              </w:rPr>
              <w:t>RANK POSITION:</w:t>
            </w:r>
            <w:r w:rsidR="00FD1CF1">
              <w:rPr>
                <w:b/>
                <w:sz w:val="28"/>
                <w:szCs w:val="28"/>
              </w:rPr>
              <w:t xml:space="preserve"> </w:t>
            </w:r>
            <w:r w:rsidR="00A6470A">
              <w:rPr>
                <w:b/>
                <w:sz w:val="28"/>
                <w:szCs w:val="28"/>
              </w:rPr>
              <w:t>8</w:t>
            </w:r>
            <w:r w:rsidR="00FD1CF1">
              <w:rPr>
                <w:b/>
                <w:sz w:val="28"/>
                <w:szCs w:val="28"/>
              </w:rPr>
              <w:t xml:space="preserve">   </w:t>
            </w:r>
            <w:r>
              <w:rPr>
                <w:b/>
                <w:sz w:val="28"/>
                <w:szCs w:val="28"/>
              </w:rPr>
              <w:t xml:space="preserve">RANK MOVEMENT: </w:t>
            </w:r>
            <w:r w:rsidR="00A6470A">
              <w:rPr>
                <w:b/>
                <w:sz w:val="28"/>
                <w:szCs w:val="28"/>
              </w:rPr>
              <w:t>0</w:t>
            </w:r>
            <w:r w:rsidR="00426AE2">
              <w:rPr>
                <w:b/>
                <w:sz w:val="28"/>
                <w:szCs w:val="28"/>
              </w:rPr>
              <w:t xml:space="preserve"> </w:t>
            </w:r>
            <w:r w:rsidR="00426AE2" w:rsidRPr="00A83E3B">
              <w:rPr>
                <w:b/>
                <w:color w:val="0070C0"/>
                <w:sz w:val="28"/>
                <w:szCs w:val="28"/>
              </w:rPr>
              <w:sym w:font="Wingdings" w:char="F0E8"/>
            </w:r>
          </w:p>
        </w:tc>
        <w:tc>
          <w:tcPr>
            <w:tcW w:w="7943" w:type="dxa"/>
            <w:gridSpan w:val="2"/>
            <w:tcBorders>
              <w:top w:val="nil"/>
              <w:bottom w:val="single" w:sz="4" w:space="0" w:color="auto"/>
            </w:tcBorders>
            <w:shd w:val="clear" w:color="auto" w:fill="D9D9D9" w:themeFill="background1" w:themeFillShade="D9"/>
            <w:vAlign w:val="center"/>
          </w:tcPr>
          <w:p w14:paraId="76F90C6E" w14:textId="77777777" w:rsidR="00BB4C90" w:rsidRDefault="00BB4C90" w:rsidP="009A329B">
            <w:pPr>
              <w:jc w:val="center"/>
              <w:rPr>
                <w:sz w:val="28"/>
                <w:szCs w:val="28"/>
              </w:rPr>
            </w:pPr>
          </w:p>
        </w:tc>
      </w:tr>
      <w:tr w:rsidR="0008765A" w:rsidRPr="00CF1ED6" w14:paraId="1E302562" w14:textId="77777777" w:rsidTr="00CF1ED6">
        <w:trPr>
          <w:trHeight w:val="170"/>
          <w:jc w:val="center"/>
        </w:trPr>
        <w:tc>
          <w:tcPr>
            <w:tcW w:w="15309" w:type="dxa"/>
            <w:gridSpan w:val="4"/>
            <w:tcBorders>
              <w:top w:val="single" w:sz="4" w:space="0" w:color="auto"/>
              <w:bottom w:val="single" w:sz="4" w:space="0" w:color="auto"/>
            </w:tcBorders>
            <w:shd w:val="clear" w:color="auto" w:fill="F2F2F2" w:themeFill="background1" w:themeFillShade="F2"/>
            <w:vAlign w:val="center"/>
          </w:tcPr>
          <w:p w14:paraId="113E4D82" w14:textId="77777777" w:rsidR="0008765A" w:rsidRPr="00CF1ED6" w:rsidRDefault="0008765A" w:rsidP="002063EA">
            <w:pPr>
              <w:rPr>
                <w:b/>
                <w:sz w:val="20"/>
                <w:szCs w:val="28"/>
              </w:rPr>
            </w:pPr>
          </w:p>
        </w:tc>
      </w:tr>
      <w:tr w:rsidR="002063EA" w:rsidRPr="004C5A6D" w14:paraId="5FB8CA97" w14:textId="77777777" w:rsidTr="002063EA">
        <w:trPr>
          <w:trHeight w:val="567"/>
          <w:jc w:val="center"/>
        </w:trPr>
        <w:tc>
          <w:tcPr>
            <w:tcW w:w="15309" w:type="dxa"/>
            <w:gridSpan w:val="4"/>
            <w:tcBorders>
              <w:top w:val="single" w:sz="4" w:space="0" w:color="auto"/>
              <w:bottom w:val="single" w:sz="4" w:space="0" w:color="auto"/>
            </w:tcBorders>
            <w:shd w:val="clear" w:color="auto" w:fill="auto"/>
            <w:vAlign w:val="center"/>
          </w:tcPr>
          <w:p w14:paraId="3816DA13" w14:textId="77777777" w:rsidR="002063EA" w:rsidRDefault="002063EA" w:rsidP="002063EA">
            <w:pPr>
              <w:rPr>
                <w:sz w:val="28"/>
                <w:szCs w:val="28"/>
              </w:rPr>
            </w:pPr>
            <w:r>
              <w:rPr>
                <w:b/>
                <w:sz w:val="28"/>
                <w:szCs w:val="28"/>
              </w:rPr>
              <w:t xml:space="preserve">INDICATOR REF: ENV4c - Percentage </w:t>
            </w:r>
            <w:r w:rsidRPr="004C5A6D">
              <w:rPr>
                <w:b/>
                <w:sz w:val="28"/>
                <w:szCs w:val="28"/>
              </w:rPr>
              <w:t>of B class roads that should be considered for maintenance treatment</w:t>
            </w:r>
          </w:p>
        </w:tc>
      </w:tr>
      <w:tr w:rsidR="002063EA" w:rsidRPr="004C5A6D" w14:paraId="08A41037" w14:textId="77777777" w:rsidTr="002063EA">
        <w:trPr>
          <w:trHeight w:val="454"/>
          <w:jc w:val="center"/>
        </w:trPr>
        <w:tc>
          <w:tcPr>
            <w:tcW w:w="15309" w:type="dxa"/>
            <w:gridSpan w:val="4"/>
            <w:tcBorders>
              <w:top w:val="single" w:sz="4" w:space="0" w:color="auto"/>
              <w:bottom w:val="single" w:sz="4" w:space="0" w:color="auto"/>
            </w:tcBorders>
            <w:shd w:val="clear" w:color="auto" w:fill="auto"/>
            <w:vAlign w:val="center"/>
          </w:tcPr>
          <w:p w14:paraId="4F40EBD4" w14:textId="37A65FE2" w:rsidR="002063EA" w:rsidRDefault="002063EA" w:rsidP="00492177">
            <w:pPr>
              <w:jc w:val="center"/>
              <w:rPr>
                <w:sz w:val="28"/>
                <w:szCs w:val="28"/>
              </w:rPr>
            </w:pPr>
            <w:r w:rsidRPr="00C577BD">
              <w:rPr>
                <w:b/>
                <w:color w:val="0070C0"/>
                <w:sz w:val="28"/>
                <w:szCs w:val="28"/>
              </w:rPr>
              <w:t>Performance Range:</w:t>
            </w:r>
            <w:r w:rsidRPr="004C7782">
              <w:rPr>
                <w:b/>
                <w:color w:val="0070C0"/>
                <w:sz w:val="28"/>
                <w:szCs w:val="28"/>
              </w:rPr>
              <w:t xml:space="preserve"> </w:t>
            </w:r>
            <w:r w:rsidR="00A6470A">
              <w:rPr>
                <w:b/>
                <w:color w:val="0070C0"/>
                <w:sz w:val="28"/>
                <w:szCs w:val="28"/>
              </w:rPr>
              <w:t>20.06</w:t>
            </w:r>
            <w:r>
              <w:rPr>
                <w:b/>
                <w:color w:val="0070C0"/>
                <w:sz w:val="28"/>
                <w:szCs w:val="28"/>
              </w:rPr>
              <w:t xml:space="preserve">% to </w:t>
            </w:r>
            <w:r w:rsidR="00A6470A">
              <w:rPr>
                <w:b/>
                <w:color w:val="0070C0"/>
                <w:sz w:val="28"/>
                <w:szCs w:val="28"/>
              </w:rPr>
              <w:t>62.66</w:t>
            </w:r>
            <w:r>
              <w:rPr>
                <w:b/>
                <w:color w:val="0070C0"/>
                <w:sz w:val="28"/>
                <w:szCs w:val="28"/>
              </w:rPr>
              <w:t xml:space="preserve">%  </w:t>
            </w:r>
            <w:r w:rsidRPr="00BE08CC">
              <w:rPr>
                <w:b/>
                <w:color w:val="0070C0"/>
                <w:sz w:val="28"/>
                <w:szCs w:val="28"/>
              </w:rPr>
              <w:t>(Lowest is best)</w:t>
            </w:r>
          </w:p>
        </w:tc>
      </w:tr>
      <w:tr w:rsidR="002063EA" w:rsidRPr="004C5A6D" w14:paraId="473E0A8E" w14:textId="77777777" w:rsidTr="00E83409">
        <w:trPr>
          <w:trHeight w:val="397"/>
          <w:jc w:val="center"/>
        </w:trPr>
        <w:tc>
          <w:tcPr>
            <w:tcW w:w="7366" w:type="dxa"/>
            <w:gridSpan w:val="2"/>
            <w:tcBorders>
              <w:top w:val="single" w:sz="4" w:space="0" w:color="auto"/>
              <w:bottom w:val="single" w:sz="4" w:space="0" w:color="auto"/>
            </w:tcBorders>
            <w:shd w:val="clear" w:color="auto" w:fill="D9E2F3" w:themeFill="accent5" w:themeFillTint="33"/>
            <w:vAlign w:val="center"/>
          </w:tcPr>
          <w:p w14:paraId="190ECC8C" w14:textId="77777777" w:rsidR="002063EA" w:rsidRDefault="002063EA" w:rsidP="009A329B">
            <w:pPr>
              <w:jc w:val="center"/>
              <w:rPr>
                <w:b/>
                <w:sz w:val="28"/>
                <w:szCs w:val="28"/>
              </w:rPr>
            </w:pPr>
            <w:r w:rsidRPr="004C5A6D">
              <w:rPr>
                <w:b/>
                <w:sz w:val="28"/>
                <w:szCs w:val="28"/>
              </w:rPr>
              <w:t>ARGYLL AND BUTE</w:t>
            </w:r>
          </w:p>
        </w:tc>
        <w:tc>
          <w:tcPr>
            <w:tcW w:w="7943" w:type="dxa"/>
            <w:gridSpan w:val="2"/>
            <w:tcBorders>
              <w:top w:val="single" w:sz="4" w:space="0" w:color="auto"/>
              <w:bottom w:val="single" w:sz="4" w:space="0" w:color="auto"/>
            </w:tcBorders>
            <w:shd w:val="clear" w:color="auto" w:fill="D9E2F3" w:themeFill="accent5" w:themeFillTint="33"/>
            <w:vAlign w:val="center"/>
          </w:tcPr>
          <w:p w14:paraId="67C9E409" w14:textId="77777777" w:rsidR="002063EA" w:rsidRDefault="002063EA" w:rsidP="009A329B">
            <w:pPr>
              <w:jc w:val="center"/>
              <w:rPr>
                <w:sz w:val="28"/>
                <w:szCs w:val="28"/>
              </w:rPr>
            </w:pPr>
            <w:r w:rsidRPr="004C5A6D">
              <w:rPr>
                <w:b/>
                <w:sz w:val="28"/>
                <w:szCs w:val="28"/>
              </w:rPr>
              <w:t>SCOTLAND</w:t>
            </w:r>
          </w:p>
        </w:tc>
      </w:tr>
      <w:tr w:rsidR="002063EA" w:rsidRPr="004C5A6D" w14:paraId="73BBA879" w14:textId="77777777" w:rsidTr="002063EA">
        <w:trPr>
          <w:trHeight w:val="397"/>
          <w:jc w:val="center"/>
        </w:trPr>
        <w:tc>
          <w:tcPr>
            <w:tcW w:w="7366" w:type="dxa"/>
            <w:gridSpan w:val="2"/>
            <w:tcBorders>
              <w:top w:val="single" w:sz="4" w:space="0" w:color="auto"/>
              <w:bottom w:val="single" w:sz="4" w:space="0" w:color="auto"/>
            </w:tcBorders>
            <w:shd w:val="clear" w:color="auto" w:fill="auto"/>
            <w:vAlign w:val="center"/>
          </w:tcPr>
          <w:p w14:paraId="3227C8E5" w14:textId="04B92CEF" w:rsidR="002063EA" w:rsidRDefault="00A6470A" w:rsidP="009A329B">
            <w:pPr>
              <w:jc w:val="center"/>
              <w:rPr>
                <w:b/>
                <w:sz w:val="28"/>
                <w:szCs w:val="28"/>
              </w:rPr>
            </w:pPr>
            <w:r>
              <w:rPr>
                <w:b/>
                <w:sz w:val="28"/>
                <w:szCs w:val="28"/>
              </w:rPr>
              <w:t>62.66</w:t>
            </w:r>
            <w:r w:rsidR="00492177">
              <w:rPr>
                <w:b/>
                <w:sz w:val="28"/>
                <w:szCs w:val="28"/>
              </w:rPr>
              <w:t>%</w:t>
            </w:r>
          </w:p>
        </w:tc>
        <w:tc>
          <w:tcPr>
            <w:tcW w:w="7943" w:type="dxa"/>
            <w:gridSpan w:val="2"/>
            <w:tcBorders>
              <w:top w:val="single" w:sz="4" w:space="0" w:color="auto"/>
              <w:bottom w:val="single" w:sz="4" w:space="0" w:color="auto"/>
            </w:tcBorders>
            <w:shd w:val="clear" w:color="auto" w:fill="auto"/>
            <w:vAlign w:val="center"/>
          </w:tcPr>
          <w:p w14:paraId="3B52D4D4" w14:textId="10D5655A" w:rsidR="002063EA" w:rsidRDefault="00A6470A" w:rsidP="009A329B">
            <w:pPr>
              <w:jc w:val="center"/>
              <w:rPr>
                <w:sz w:val="28"/>
                <w:szCs w:val="28"/>
              </w:rPr>
            </w:pPr>
            <w:r>
              <w:rPr>
                <w:b/>
                <w:sz w:val="28"/>
                <w:szCs w:val="28"/>
              </w:rPr>
              <w:t>35.71</w:t>
            </w:r>
            <w:r w:rsidR="00492177">
              <w:rPr>
                <w:b/>
                <w:sz w:val="28"/>
                <w:szCs w:val="28"/>
              </w:rPr>
              <w:t>%</w:t>
            </w:r>
          </w:p>
        </w:tc>
      </w:tr>
      <w:tr w:rsidR="002063EA" w:rsidRPr="004C5A6D" w14:paraId="547E4426" w14:textId="77777777" w:rsidTr="002063EA">
        <w:trPr>
          <w:trHeight w:val="397"/>
          <w:jc w:val="center"/>
        </w:trPr>
        <w:tc>
          <w:tcPr>
            <w:tcW w:w="5949" w:type="dxa"/>
            <w:tcBorders>
              <w:top w:val="single" w:sz="4" w:space="0" w:color="auto"/>
              <w:bottom w:val="single" w:sz="4" w:space="0" w:color="auto"/>
            </w:tcBorders>
            <w:shd w:val="clear" w:color="auto" w:fill="auto"/>
            <w:vAlign w:val="center"/>
          </w:tcPr>
          <w:p w14:paraId="013B1389" w14:textId="0E405DB1" w:rsidR="002063EA" w:rsidRDefault="002063EA" w:rsidP="001D3DEE">
            <w:pPr>
              <w:jc w:val="center"/>
              <w:rPr>
                <w:b/>
                <w:sz w:val="28"/>
                <w:szCs w:val="28"/>
              </w:rPr>
            </w:pPr>
            <w:r w:rsidRPr="00721B18">
              <w:rPr>
                <w:b/>
                <w:sz w:val="28"/>
                <w:szCs w:val="28"/>
              </w:rPr>
              <w:t>CHANGE 201</w:t>
            </w:r>
            <w:r w:rsidR="001D3DEE">
              <w:rPr>
                <w:b/>
                <w:sz w:val="28"/>
                <w:szCs w:val="28"/>
              </w:rPr>
              <w:t>6</w:t>
            </w:r>
            <w:r w:rsidRPr="00721B18">
              <w:rPr>
                <w:b/>
                <w:sz w:val="28"/>
                <w:szCs w:val="28"/>
              </w:rPr>
              <w:t>/1</w:t>
            </w:r>
            <w:r w:rsidR="00492177">
              <w:rPr>
                <w:b/>
                <w:sz w:val="28"/>
                <w:szCs w:val="28"/>
              </w:rPr>
              <w:t>8</w:t>
            </w:r>
            <w:r w:rsidRPr="00721B18">
              <w:rPr>
                <w:b/>
                <w:sz w:val="28"/>
                <w:szCs w:val="28"/>
              </w:rPr>
              <w:t xml:space="preserve"> TO </w:t>
            </w:r>
            <w:r>
              <w:rPr>
                <w:b/>
                <w:sz w:val="28"/>
                <w:szCs w:val="28"/>
              </w:rPr>
              <w:t>201</w:t>
            </w:r>
            <w:r w:rsidR="001D3DEE">
              <w:rPr>
                <w:b/>
                <w:sz w:val="28"/>
                <w:szCs w:val="28"/>
              </w:rPr>
              <w:t>7</w:t>
            </w:r>
            <w:r>
              <w:rPr>
                <w:b/>
                <w:sz w:val="28"/>
                <w:szCs w:val="28"/>
              </w:rPr>
              <w:t>/1</w:t>
            </w:r>
            <w:r w:rsidR="00492177">
              <w:rPr>
                <w:b/>
                <w:sz w:val="28"/>
                <w:szCs w:val="28"/>
              </w:rPr>
              <w:t>9</w:t>
            </w:r>
          </w:p>
        </w:tc>
        <w:tc>
          <w:tcPr>
            <w:tcW w:w="1417" w:type="dxa"/>
            <w:tcBorders>
              <w:top w:val="single" w:sz="4" w:space="0" w:color="auto"/>
              <w:bottom w:val="single" w:sz="4" w:space="0" w:color="auto"/>
            </w:tcBorders>
            <w:shd w:val="clear" w:color="auto" w:fill="auto"/>
            <w:vAlign w:val="center"/>
          </w:tcPr>
          <w:p w14:paraId="52691FB2" w14:textId="490BAE5C" w:rsidR="002063EA" w:rsidRDefault="00A6470A" w:rsidP="009A329B">
            <w:pPr>
              <w:jc w:val="center"/>
              <w:rPr>
                <w:b/>
                <w:sz w:val="28"/>
                <w:szCs w:val="28"/>
              </w:rPr>
            </w:pPr>
            <w:r>
              <w:rPr>
                <w:b/>
                <w:sz w:val="28"/>
                <w:szCs w:val="28"/>
              </w:rPr>
              <w:t>-1.2</w:t>
            </w:r>
            <w:r w:rsidR="00426AE2">
              <w:rPr>
                <w:b/>
                <w:sz w:val="28"/>
                <w:szCs w:val="28"/>
              </w:rPr>
              <w:t xml:space="preserve"> </w:t>
            </w:r>
            <w:r w:rsidR="00426AE2" w:rsidRPr="00EC5E64">
              <w:rPr>
                <w:b/>
                <w:color w:val="00B050"/>
                <w:sz w:val="28"/>
                <w:szCs w:val="28"/>
              </w:rPr>
              <w:sym w:font="Wingdings" w:char="F0EA"/>
            </w:r>
          </w:p>
        </w:tc>
        <w:tc>
          <w:tcPr>
            <w:tcW w:w="6237" w:type="dxa"/>
            <w:tcBorders>
              <w:top w:val="single" w:sz="4" w:space="0" w:color="auto"/>
              <w:bottom w:val="single" w:sz="4" w:space="0" w:color="auto"/>
            </w:tcBorders>
            <w:shd w:val="clear" w:color="auto" w:fill="auto"/>
            <w:vAlign w:val="center"/>
          </w:tcPr>
          <w:p w14:paraId="25F1E0F5" w14:textId="57A73332" w:rsidR="002063EA" w:rsidRDefault="002063EA" w:rsidP="001D3DEE">
            <w:pPr>
              <w:jc w:val="center"/>
              <w:rPr>
                <w:sz w:val="28"/>
                <w:szCs w:val="28"/>
              </w:rPr>
            </w:pPr>
            <w:r w:rsidRPr="002063EA">
              <w:rPr>
                <w:sz w:val="28"/>
                <w:szCs w:val="28"/>
              </w:rPr>
              <w:t>CHANGE 201</w:t>
            </w:r>
            <w:r w:rsidR="001D3DEE">
              <w:rPr>
                <w:sz w:val="28"/>
                <w:szCs w:val="28"/>
              </w:rPr>
              <w:t>6</w:t>
            </w:r>
            <w:r w:rsidRPr="002063EA">
              <w:rPr>
                <w:sz w:val="28"/>
                <w:szCs w:val="28"/>
              </w:rPr>
              <w:t>/1</w:t>
            </w:r>
            <w:r w:rsidR="00492177">
              <w:rPr>
                <w:sz w:val="28"/>
                <w:szCs w:val="28"/>
              </w:rPr>
              <w:t>8</w:t>
            </w:r>
            <w:r w:rsidRPr="002063EA">
              <w:rPr>
                <w:sz w:val="28"/>
                <w:szCs w:val="28"/>
              </w:rPr>
              <w:t xml:space="preserve"> TO 201</w:t>
            </w:r>
            <w:r w:rsidR="001D3DEE">
              <w:rPr>
                <w:sz w:val="28"/>
                <w:szCs w:val="28"/>
              </w:rPr>
              <w:t>7</w:t>
            </w:r>
            <w:r w:rsidRPr="002063EA">
              <w:rPr>
                <w:sz w:val="28"/>
                <w:szCs w:val="28"/>
              </w:rPr>
              <w:t>/1</w:t>
            </w:r>
            <w:r w:rsidR="00492177">
              <w:rPr>
                <w:sz w:val="28"/>
                <w:szCs w:val="28"/>
              </w:rPr>
              <w:t>9</w:t>
            </w:r>
          </w:p>
        </w:tc>
        <w:tc>
          <w:tcPr>
            <w:tcW w:w="1706" w:type="dxa"/>
            <w:tcBorders>
              <w:top w:val="single" w:sz="4" w:space="0" w:color="auto"/>
              <w:bottom w:val="single" w:sz="4" w:space="0" w:color="auto"/>
            </w:tcBorders>
            <w:shd w:val="clear" w:color="auto" w:fill="auto"/>
            <w:vAlign w:val="center"/>
          </w:tcPr>
          <w:p w14:paraId="4B4FEE85" w14:textId="7157A042" w:rsidR="002063EA" w:rsidRDefault="00426AE2" w:rsidP="009A329B">
            <w:pPr>
              <w:jc w:val="center"/>
              <w:rPr>
                <w:sz w:val="28"/>
                <w:szCs w:val="28"/>
              </w:rPr>
            </w:pPr>
            <w:r>
              <w:rPr>
                <w:sz w:val="28"/>
                <w:szCs w:val="28"/>
              </w:rPr>
              <w:t xml:space="preserve">-0.19 </w:t>
            </w:r>
            <w:r w:rsidRPr="00EC5E64">
              <w:rPr>
                <w:b/>
                <w:color w:val="00B050"/>
                <w:sz w:val="28"/>
                <w:szCs w:val="28"/>
              </w:rPr>
              <w:sym w:font="Wingdings" w:char="F0EA"/>
            </w:r>
          </w:p>
        </w:tc>
      </w:tr>
      <w:tr w:rsidR="002063EA" w:rsidRPr="004C5A6D" w14:paraId="5305C88D" w14:textId="77777777" w:rsidTr="001D3DEE">
        <w:trPr>
          <w:trHeight w:val="397"/>
          <w:jc w:val="center"/>
        </w:trPr>
        <w:tc>
          <w:tcPr>
            <w:tcW w:w="5949" w:type="dxa"/>
            <w:tcBorders>
              <w:top w:val="single" w:sz="4" w:space="0" w:color="auto"/>
              <w:bottom w:val="single" w:sz="4" w:space="0" w:color="auto"/>
            </w:tcBorders>
            <w:shd w:val="clear" w:color="auto" w:fill="auto"/>
            <w:vAlign w:val="center"/>
          </w:tcPr>
          <w:p w14:paraId="0B094BDC" w14:textId="66511896" w:rsidR="002063EA" w:rsidRDefault="002063EA" w:rsidP="001D3DEE">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w:t>
            </w:r>
            <w:r w:rsidR="001D3DEE">
              <w:rPr>
                <w:b/>
                <w:sz w:val="28"/>
                <w:szCs w:val="28"/>
              </w:rPr>
              <w:t>7</w:t>
            </w:r>
            <w:r>
              <w:rPr>
                <w:b/>
                <w:sz w:val="28"/>
                <w:szCs w:val="28"/>
              </w:rPr>
              <w:t>/1</w:t>
            </w:r>
            <w:r w:rsidR="00492177">
              <w:rPr>
                <w:b/>
                <w:sz w:val="28"/>
                <w:szCs w:val="28"/>
              </w:rPr>
              <w:t>9</w:t>
            </w:r>
          </w:p>
        </w:tc>
        <w:tc>
          <w:tcPr>
            <w:tcW w:w="1417" w:type="dxa"/>
            <w:tcBorders>
              <w:top w:val="single" w:sz="4" w:space="0" w:color="auto"/>
              <w:bottom w:val="single" w:sz="4" w:space="0" w:color="auto"/>
            </w:tcBorders>
            <w:shd w:val="clear" w:color="auto" w:fill="auto"/>
            <w:vAlign w:val="center"/>
          </w:tcPr>
          <w:p w14:paraId="7EAFF988" w14:textId="2F3BF637" w:rsidR="002063EA" w:rsidRDefault="00A6470A" w:rsidP="009A329B">
            <w:pPr>
              <w:jc w:val="center"/>
              <w:rPr>
                <w:b/>
                <w:sz w:val="28"/>
                <w:szCs w:val="28"/>
              </w:rPr>
            </w:pPr>
            <w:r>
              <w:rPr>
                <w:b/>
                <w:sz w:val="28"/>
                <w:szCs w:val="28"/>
              </w:rPr>
              <w:t>0.25</w:t>
            </w:r>
            <w:r w:rsidR="00426AE2">
              <w:rPr>
                <w:b/>
                <w:sz w:val="28"/>
                <w:szCs w:val="28"/>
              </w:rPr>
              <w:t xml:space="preserve"> </w:t>
            </w:r>
            <w:r w:rsidR="00426AE2" w:rsidRPr="00C14931">
              <w:rPr>
                <w:b/>
                <w:color w:val="FF0000"/>
                <w:sz w:val="28"/>
                <w:szCs w:val="28"/>
              </w:rPr>
              <w:sym w:font="Wingdings" w:char="F0E9"/>
            </w:r>
          </w:p>
        </w:tc>
        <w:tc>
          <w:tcPr>
            <w:tcW w:w="6237" w:type="dxa"/>
            <w:tcBorders>
              <w:top w:val="single" w:sz="4" w:space="0" w:color="auto"/>
              <w:bottom w:val="single" w:sz="4" w:space="0" w:color="auto"/>
            </w:tcBorders>
            <w:shd w:val="clear" w:color="auto" w:fill="auto"/>
            <w:vAlign w:val="center"/>
          </w:tcPr>
          <w:p w14:paraId="4004C29A" w14:textId="4823E761" w:rsidR="002063EA" w:rsidRDefault="002063EA" w:rsidP="001D3DEE">
            <w:pPr>
              <w:jc w:val="center"/>
              <w:rPr>
                <w:sz w:val="28"/>
                <w:szCs w:val="28"/>
              </w:rPr>
            </w:pPr>
            <w:r>
              <w:rPr>
                <w:sz w:val="28"/>
                <w:szCs w:val="28"/>
              </w:rPr>
              <w:t xml:space="preserve">CHANGE </w:t>
            </w:r>
            <w:r w:rsidRPr="00903E39">
              <w:rPr>
                <w:sz w:val="28"/>
                <w:szCs w:val="28"/>
              </w:rPr>
              <w:t xml:space="preserve">BASE YEAR </w:t>
            </w:r>
            <w:r>
              <w:rPr>
                <w:sz w:val="28"/>
                <w:szCs w:val="28"/>
              </w:rPr>
              <w:t>TO 201</w:t>
            </w:r>
            <w:r w:rsidR="001D3DEE">
              <w:rPr>
                <w:sz w:val="28"/>
                <w:szCs w:val="28"/>
              </w:rPr>
              <w:t>7</w:t>
            </w:r>
            <w:r>
              <w:rPr>
                <w:sz w:val="28"/>
                <w:szCs w:val="28"/>
              </w:rPr>
              <w:t>/1</w:t>
            </w:r>
            <w:r w:rsidR="00492177">
              <w:rPr>
                <w:sz w:val="28"/>
                <w:szCs w:val="28"/>
              </w:rPr>
              <w:t>9</w:t>
            </w:r>
          </w:p>
        </w:tc>
        <w:tc>
          <w:tcPr>
            <w:tcW w:w="1706" w:type="dxa"/>
            <w:tcBorders>
              <w:top w:val="single" w:sz="4" w:space="0" w:color="auto"/>
              <w:bottom w:val="single" w:sz="4" w:space="0" w:color="auto"/>
            </w:tcBorders>
            <w:shd w:val="clear" w:color="auto" w:fill="auto"/>
            <w:vAlign w:val="center"/>
          </w:tcPr>
          <w:p w14:paraId="11AA72E0" w14:textId="2A6176F2" w:rsidR="002063EA" w:rsidRDefault="00426AE2" w:rsidP="009A329B">
            <w:pPr>
              <w:jc w:val="center"/>
              <w:rPr>
                <w:sz w:val="28"/>
                <w:szCs w:val="28"/>
              </w:rPr>
            </w:pPr>
            <w:r>
              <w:rPr>
                <w:sz w:val="28"/>
                <w:szCs w:val="28"/>
              </w:rPr>
              <w:t xml:space="preserve">-0.09 </w:t>
            </w:r>
            <w:r w:rsidRPr="00EC5E64">
              <w:rPr>
                <w:b/>
                <w:color w:val="00B050"/>
                <w:sz w:val="28"/>
                <w:szCs w:val="28"/>
              </w:rPr>
              <w:sym w:font="Wingdings" w:char="F0EA"/>
            </w:r>
          </w:p>
        </w:tc>
      </w:tr>
      <w:tr w:rsidR="002063EA" w:rsidRPr="004C5A6D" w14:paraId="26D16B69" w14:textId="77777777" w:rsidTr="00B318EA">
        <w:trPr>
          <w:trHeight w:val="397"/>
          <w:jc w:val="center"/>
        </w:trPr>
        <w:tc>
          <w:tcPr>
            <w:tcW w:w="7366" w:type="dxa"/>
            <w:gridSpan w:val="2"/>
            <w:tcBorders>
              <w:top w:val="single" w:sz="4" w:space="0" w:color="auto"/>
              <w:bottom w:val="single" w:sz="4" w:space="0" w:color="auto"/>
            </w:tcBorders>
            <w:shd w:val="clear" w:color="auto" w:fill="auto"/>
            <w:vAlign w:val="center"/>
          </w:tcPr>
          <w:p w14:paraId="1FEBA683" w14:textId="54F2A4FB" w:rsidR="002063EA" w:rsidRDefault="002063EA" w:rsidP="00492177">
            <w:pPr>
              <w:jc w:val="center"/>
              <w:rPr>
                <w:b/>
                <w:sz w:val="28"/>
                <w:szCs w:val="28"/>
              </w:rPr>
            </w:pPr>
            <w:r w:rsidRPr="000C25E0">
              <w:rPr>
                <w:b/>
                <w:sz w:val="28"/>
                <w:szCs w:val="28"/>
              </w:rPr>
              <w:t>RANK POSITION</w:t>
            </w:r>
            <w:r w:rsidRPr="00426AE2">
              <w:rPr>
                <w:b/>
                <w:sz w:val="28"/>
                <w:szCs w:val="28"/>
              </w:rPr>
              <w:t>:</w:t>
            </w:r>
            <w:r w:rsidR="00513443" w:rsidRPr="00426AE2">
              <w:rPr>
                <w:b/>
                <w:sz w:val="28"/>
                <w:szCs w:val="28"/>
              </w:rPr>
              <w:t xml:space="preserve"> </w:t>
            </w:r>
            <w:r w:rsidR="00A6470A" w:rsidRPr="00426AE2">
              <w:rPr>
                <w:b/>
                <w:sz w:val="28"/>
                <w:szCs w:val="28"/>
              </w:rPr>
              <w:t>32</w:t>
            </w:r>
            <w:r w:rsidR="00513443" w:rsidRPr="00426AE2">
              <w:rPr>
                <w:b/>
                <w:sz w:val="28"/>
                <w:szCs w:val="28"/>
              </w:rPr>
              <w:t xml:space="preserve">   </w:t>
            </w:r>
            <w:r w:rsidRPr="000C25E0">
              <w:rPr>
                <w:b/>
                <w:sz w:val="28"/>
                <w:szCs w:val="28"/>
              </w:rPr>
              <w:t>RANK MOVEMENT:</w:t>
            </w:r>
            <w:r w:rsidR="00A6470A">
              <w:rPr>
                <w:b/>
                <w:sz w:val="28"/>
                <w:szCs w:val="28"/>
              </w:rPr>
              <w:t xml:space="preserve"> 0</w:t>
            </w:r>
            <w:r w:rsidRPr="000C25E0">
              <w:rPr>
                <w:b/>
                <w:sz w:val="28"/>
                <w:szCs w:val="28"/>
              </w:rPr>
              <w:t xml:space="preserve"> </w:t>
            </w:r>
            <w:r w:rsidR="00426AE2" w:rsidRPr="00A83E3B">
              <w:rPr>
                <w:b/>
                <w:color w:val="0070C0"/>
                <w:sz w:val="28"/>
                <w:szCs w:val="28"/>
              </w:rPr>
              <w:sym w:font="Wingdings" w:char="F0E8"/>
            </w:r>
          </w:p>
        </w:tc>
        <w:tc>
          <w:tcPr>
            <w:tcW w:w="7943" w:type="dxa"/>
            <w:gridSpan w:val="2"/>
            <w:tcBorders>
              <w:top w:val="single" w:sz="4" w:space="0" w:color="auto"/>
              <w:bottom w:val="nil"/>
            </w:tcBorders>
            <w:shd w:val="clear" w:color="auto" w:fill="D9D9D9" w:themeFill="background1" w:themeFillShade="D9"/>
            <w:vAlign w:val="center"/>
          </w:tcPr>
          <w:p w14:paraId="2E5FA889" w14:textId="77777777" w:rsidR="002063EA" w:rsidRDefault="002063EA" w:rsidP="009A329B">
            <w:pPr>
              <w:jc w:val="center"/>
              <w:rPr>
                <w:sz w:val="28"/>
                <w:szCs w:val="28"/>
              </w:rPr>
            </w:pPr>
          </w:p>
        </w:tc>
      </w:tr>
      <w:tr w:rsidR="002063EA" w:rsidRPr="004C5A6D" w14:paraId="5D81B083" w14:textId="77777777" w:rsidTr="00B318EA">
        <w:trPr>
          <w:trHeight w:val="397"/>
          <w:jc w:val="center"/>
        </w:trPr>
        <w:tc>
          <w:tcPr>
            <w:tcW w:w="7366" w:type="dxa"/>
            <w:gridSpan w:val="2"/>
            <w:tcBorders>
              <w:top w:val="single" w:sz="4" w:space="0" w:color="auto"/>
              <w:bottom w:val="nil"/>
            </w:tcBorders>
            <w:shd w:val="clear" w:color="auto" w:fill="D9E2F3" w:themeFill="accent5" w:themeFillTint="33"/>
            <w:vAlign w:val="center"/>
          </w:tcPr>
          <w:p w14:paraId="4B12543D" w14:textId="1D443DF1" w:rsidR="002063EA" w:rsidRDefault="002063EA" w:rsidP="00492177">
            <w:pPr>
              <w:jc w:val="center"/>
              <w:rPr>
                <w:b/>
                <w:sz w:val="28"/>
                <w:szCs w:val="28"/>
              </w:rPr>
            </w:pPr>
            <w:r>
              <w:rPr>
                <w:b/>
                <w:sz w:val="28"/>
                <w:szCs w:val="28"/>
              </w:rPr>
              <w:t>FAMILY GROUP RANKING 201</w:t>
            </w:r>
            <w:r w:rsidR="00492177">
              <w:rPr>
                <w:b/>
                <w:sz w:val="28"/>
                <w:szCs w:val="28"/>
              </w:rPr>
              <w:t>8</w:t>
            </w:r>
            <w:r>
              <w:rPr>
                <w:b/>
                <w:sz w:val="28"/>
                <w:szCs w:val="28"/>
              </w:rPr>
              <w:t>/1</w:t>
            </w:r>
            <w:r w:rsidR="00492177">
              <w:rPr>
                <w:b/>
                <w:sz w:val="28"/>
                <w:szCs w:val="28"/>
              </w:rPr>
              <w:t>9</w:t>
            </w:r>
          </w:p>
        </w:tc>
        <w:tc>
          <w:tcPr>
            <w:tcW w:w="7943" w:type="dxa"/>
            <w:gridSpan w:val="2"/>
            <w:tcBorders>
              <w:top w:val="nil"/>
              <w:bottom w:val="nil"/>
            </w:tcBorders>
            <w:shd w:val="clear" w:color="auto" w:fill="D9D9D9" w:themeFill="background1" w:themeFillShade="D9"/>
            <w:vAlign w:val="center"/>
          </w:tcPr>
          <w:p w14:paraId="193691BD" w14:textId="77777777" w:rsidR="002063EA" w:rsidRDefault="002063EA" w:rsidP="009A329B">
            <w:pPr>
              <w:jc w:val="center"/>
              <w:rPr>
                <w:sz w:val="28"/>
                <w:szCs w:val="28"/>
              </w:rPr>
            </w:pPr>
          </w:p>
        </w:tc>
      </w:tr>
      <w:tr w:rsidR="002063EA" w:rsidRPr="004C5A6D" w14:paraId="54131C30" w14:textId="77777777" w:rsidTr="001D3DEE">
        <w:trPr>
          <w:trHeight w:val="397"/>
          <w:jc w:val="center"/>
        </w:trPr>
        <w:tc>
          <w:tcPr>
            <w:tcW w:w="7366" w:type="dxa"/>
            <w:gridSpan w:val="2"/>
            <w:tcBorders>
              <w:top w:val="nil"/>
              <w:bottom w:val="single" w:sz="4" w:space="0" w:color="auto"/>
            </w:tcBorders>
            <w:shd w:val="clear" w:color="auto" w:fill="D9E2F3" w:themeFill="accent5" w:themeFillTint="33"/>
            <w:vAlign w:val="center"/>
          </w:tcPr>
          <w:p w14:paraId="535D7BEA" w14:textId="7BB00613" w:rsidR="002063EA" w:rsidRDefault="002063EA" w:rsidP="00492177">
            <w:pPr>
              <w:jc w:val="center"/>
              <w:rPr>
                <w:b/>
                <w:sz w:val="28"/>
                <w:szCs w:val="28"/>
              </w:rPr>
            </w:pPr>
            <w:r>
              <w:rPr>
                <w:b/>
                <w:sz w:val="28"/>
                <w:szCs w:val="28"/>
              </w:rPr>
              <w:t>RANK POSITION:</w:t>
            </w:r>
            <w:r w:rsidR="00FD1CF1">
              <w:rPr>
                <w:b/>
                <w:sz w:val="28"/>
                <w:szCs w:val="28"/>
              </w:rPr>
              <w:t xml:space="preserve"> </w:t>
            </w:r>
            <w:r w:rsidR="00A6470A">
              <w:rPr>
                <w:b/>
                <w:sz w:val="28"/>
                <w:szCs w:val="28"/>
              </w:rPr>
              <w:t>8</w:t>
            </w:r>
            <w:r w:rsidR="00FD1CF1">
              <w:rPr>
                <w:b/>
                <w:sz w:val="28"/>
                <w:szCs w:val="28"/>
              </w:rPr>
              <w:t xml:space="preserve">   </w:t>
            </w:r>
            <w:r>
              <w:rPr>
                <w:b/>
                <w:sz w:val="28"/>
                <w:szCs w:val="28"/>
              </w:rPr>
              <w:t>RANK MOVEMENT:</w:t>
            </w:r>
            <w:r w:rsidR="00A6470A">
              <w:rPr>
                <w:b/>
                <w:sz w:val="28"/>
                <w:szCs w:val="28"/>
              </w:rPr>
              <w:t xml:space="preserve"> 0</w:t>
            </w:r>
            <w:r>
              <w:rPr>
                <w:b/>
                <w:sz w:val="28"/>
                <w:szCs w:val="28"/>
              </w:rPr>
              <w:t xml:space="preserve"> </w:t>
            </w:r>
            <w:r w:rsidR="00426AE2" w:rsidRPr="00A83E3B">
              <w:rPr>
                <w:b/>
                <w:color w:val="0070C0"/>
                <w:sz w:val="28"/>
                <w:szCs w:val="28"/>
              </w:rPr>
              <w:sym w:font="Wingdings" w:char="F0E8"/>
            </w:r>
          </w:p>
        </w:tc>
        <w:tc>
          <w:tcPr>
            <w:tcW w:w="7943" w:type="dxa"/>
            <w:gridSpan w:val="2"/>
            <w:tcBorders>
              <w:top w:val="nil"/>
              <w:bottom w:val="single" w:sz="4" w:space="0" w:color="auto"/>
            </w:tcBorders>
            <w:shd w:val="clear" w:color="auto" w:fill="D9D9D9" w:themeFill="background1" w:themeFillShade="D9"/>
            <w:vAlign w:val="center"/>
          </w:tcPr>
          <w:p w14:paraId="4467902E" w14:textId="77777777" w:rsidR="002063EA" w:rsidRDefault="002063EA" w:rsidP="009A329B">
            <w:pPr>
              <w:jc w:val="center"/>
              <w:rPr>
                <w:sz w:val="28"/>
                <w:szCs w:val="28"/>
              </w:rPr>
            </w:pPr>
          </w:p>
        </w:tc>
      </w:tr>
      <w:tr w:rsidR="001D3DEE" w:rsidRPr="004C5A6D" w14:paraId="126EA34A" w14:textId="77777777" w:rsidTr="001D3DEE">
        <w:trPr>
          <w:trHeight w:val="397"/>
          <w:jc w:val="center"/>
        </w:trPr>
        <w:tc>
          <w:tcPr>
            <w:tcW w:w="15309" w:type="dxa"/>
            <w:gridSpan w:val="4"/>
            <w:tcBorders>
              <w:top w:val="single" w:sz="4" w:space="0" w:color="auto"/>
            </w:tcBorders>
            <w:shd w:val="clear" w:color="auto" w:fill="auto"/>
            <w:vAlign w:val="center"/>
          </w:tcPr>
          <w:p w14:paraId="556A0F4C" w14:textId="77777777" w:rsidR="001D3DEE" w:rsidRDefault="001D3DEE" w:rsidP="00876CB3">
            <w:pPr>
              <w:spacing w:after="120"/>
              <w:rPr>
                <w:b/>
                <w:sz w:val="28"/>
                <w:szCs w:val="28"/>
              </w:rPr>
            </w:pPr>
            <w:r w:rsidRPr="004C5A6D">
              <w:rPr>
                <w:b/>
                <w:sz w:val="28"/>
                <w:szCs w:val="28"/>
              </w:rPr>
              <w:lastRenderedPageBreak/>
              <w:t>TELLING OUR STORY:</w:t>
            </w:r>
          </w:p>
          <w:p w14:paraId="608775D6" w14:textId="5381D4D9" w:rsidR="001D3DEE" w:rsidRPr="00036039" w:rsidRDefault="001D3DEE" w:rsidP="00876CB3">
            <w:pPr>
              <w:pStyle w:val="Default"/>
              <w:spacing w:after="120"/>
              <w:rPr>
                <w:rFonts w:asciiTheme="minorHAnsi" w:hAnsiTheme="minorHAnsi" w:cstheme="minorHAnsi"/>
              </w:rPr>
            </w:pPr>
            <w:r w:rsidRPr="00036039">
              <w:rPr>
                <w:rFonts w:asciiTheme="minorHAnsi" w:hAnsiTheme="minorHAnsi" w:cstheme="minorHAnsi"/>
              </w:rPr>
              <w:t xml:space="preserve">The data for </w:t>
            </w:r>
            <w:r w:rsidRPr="00036039">
              <w:rPr>
                <w:rFonts w:asciiTheme="minorHAnsi" w:hAnsiTheme="minorHAnsi" w:cstheme="minorHAnsi"/>
                <w:b/>
                <w:color w:val="auto"/>
              </w:rPr>
              <w:t xml:space="preserve">Percentage of roads that should be considered for maintenance treatment by road class </w:t>
            </w:r>
            <w:r w:rsidRPr="00036039">
              <w:rPr>
                <w:rFonts w:asciiTheme="minorHAnsi" w:hAnsiTheme="minorHAnsi" w:cstheme="minorHAnsi"/>
              </w:rPr>
              <w:t>is reported for 2</w:t>
            </w:r>
            <w:r w:rsidR="00A453ED" w:rsidRPr="00036039">
              <w:rPr>
                <w:rFonts w:asciiTheme="minorHAnsi" w:hAnsiTheme="minorHAnsi" w:cstheme="minorHAnsi"/>
              </w:rPr>
              <w:t>-year rolling averages</w:t>
            </w:r>
            <w:r w:rsidRPr="00036039">
              <w:rPr>
                <w:rFonts w:asciiTheme="minorHAnsi" w:hAnsiTheme="minorHAnsi" w:cstheme="minorHAnsi"/>
              </w:rPr>
              <w:t xml:space="preserve">. Not all classes of road are surveyed every year. Therefore improvements made to some roads may not be reflected in the data until several years after the work has been carried out. </w:t>
            </w:r>
          </w:p>
          <w:p w14:paraId="60D9BB03" w14:textId="6CB216C3" w:rsidR="001D3DEE" w:rsidRPr="00036039" w:rsidRDefault="001D3DEE" w:rsidP="00876CB3">
            <w:pPr>
              <w:pStyle w:val="Default"/>
              <w:spacing w:after="120"/>
              <w:rPr>
                <w:rFonts w:asciiTheme="minorHAnsi" w:hAnsiTheme="minorHAnsi" w:cstheme="minorHAnsi"/>
              </w:rPr>
            </w:pPr>
            <w:r w:rsidRPr="00036039">
              <w:rPr>
                <w:rFonts w:asciiTheme="minorHAnsi" w:hAnsiTheme="minorHAnsi" w:cstheme="minorHAnsi"/>
              </w:rPr>
              <w:t>‘Considered for maintenance treatment’ offers no indication of the severity of condition, safety concerns or road user data. The data does</w:t>
            </w:r>
            <w:r w:rsidR="00A453ED" w:rsidRPr="00036039">
              <w:rPr>
                <w:rFonts w:asciiTheme="minorHAnsi" w:hAnsiTheme="minorHAnsi" w:cstheme="minorHAnsi"/>
              </w:rPr>
              <w:t xml:space="preserve"> </w:t>
            </w:r>
            <w:r w:rsidRPr="00036039">
              <w:rPr>
                <w:rFonts w:asciiTheme="minorHAnsi" w:hAnsiTheme="minorHAnsi" w:cstheme="minorHAnsi"/>
              </w:rPr>
              <w:t>n</w:t>
            </w:r>
            <w:r w:rsidR="00A453ED" w:rsidRPr="00036039">
              <w:rPr>
                <w:rFonts w:asciiTheme="minorHAnsi" w:hAnsiTheme="minorHAnsi" w:cstheme="minorHAnsi"/>
              </w:rPr>
              <w:t>o</w:t>
            </w:r>
            <w:r w:rsidRPr="00036039">
              <w:rPr>
                <w:rFonts w:asciiTheme="minorHAnsi" w:hAnsiTheme="minorHAnsi" w:cstheme="minorHAnsi"/>
              </w:rPr>
              <w:t xml:space="preserve">t </w:t>
            </w:r>
            <w:r w:rsidR="00A453ED" w:rsidRPr="00036039">
              <w:rPr>
                <w:rFonts w:asciiTheme="minorHAnsi" w:hAnsiTheme="minorHAnsi" w:cstheme="minorHAnsi"/>
              </w:rPr>
              <w:t xml:space="preserve">include information about the </w:t>
            </w:r>
            <w:r w:rsidRPr="00036039">
              <w:rPr>
                <w:rFonts w:asciiTheme="minorHAnsi" w:hAnsiTheme="minorHAnsi" w:cstheme="minorHAnsi"/>
              </w:rPr>
              <w:t>length</w:t>
            </w:r>
            <w:r w:rsidR="00A453ED" w:rsidRPr="00036039">
              <w:rPr>
                <w:rFonts w:asciiTheme="minorHAnsi" w:hAnsiTheme="minorHAnsi" w:cstheme="minorHAnsi"/>
              </w:rPr>
              <w:t xml:space="preserve"> of road in </w:t>
            </w:r>
            <w:r w:rsidRPr="00036039">
              <w:rPr>
                <w:rFonts w:asciiTheme="minorHAnsi" w:hAnsiTheme="minorHAnsi" w:cstheme="minorHAnsi"/>
              </w:rPr>
              <w:t xml:space="preserve">each class. </w:t>
            </w:r>
          </w:p>
          <w:p w14:paraId="07A3BA4F" w14:textId="3D6FBAFC" w:rsidR="00A453ED" w:rsidRPr="00036039" w:rsidRDefault="00A453ED" w:rsidP="00876CB3">
            <w:pPr>
              <w:spacing w:after="120"/>
              <w:rPr>
                <w:rFonts w:cstheme="minorHAnsi"/>
                <w:sz w:val="24"/>
                <w:szCs w:val="24"/>
              </w:rPr>
            </w:pPr>
            <w:r w:rsidRPr="00036039">
              <w:rPr>
                <w:rFonts w:cstheme="minorHAnsi"/>
                <w:sz w:val="24"/>
                <w:szCs w:val="24"/>
              </w:rPr>
              <w:t>(In addition to A and B roads, the LGBF also reports on C and D roads considered for maintenance treatment. These have not been included in the reduced dataset for detailed commentary.)</w:t>
            </w:r>
          </w:p>
          <w:p w14:paraId="006A25FF" w14:textId="0D241237" w:rsidR="00A453ED" w:rsidRPr="00036039" w:rsidRDefault="00A453ED" w:rsidP="00876CB3">
            <w:pPr>
              <w:pStyle w:val="Default"/>
              <w:spacing w:after="120"/>
              <w:rPr>
                <w:rFonts w:asciiTheme="minorHAnsi" w:hAnsiTheme="minorHAnsi" w:cstheme="minorHAnsi"/>
              </w:rPr>
            </w:pPr>
            <w:r w:rsidRPr="00036039">
              <w:rPr>
                <w:rFonts w:asciiTheme="minorHAnsi" w:hAnsiTheme="minorHAnsi" w:cstheme="minorHAnsi"/>
              </w:rPr>
              <w:t xml:space="preserve">Approximately 25% of Argyll and Bute's roads are founded on peat. As its moisture content varies, the peat expands and contracts, making the roads prone to movement. </w:t>
            </w:r>
          </w:p>
          <w:p w14:paraId="7F957219" w14:textId="6E73B3B5" w:rsidR="00A453ED" w:rsidRPr="00036039" w:rsidRDefault="00A453ED" w:rsidP="00876CB3">
            <w:pPr>
              <w:spacing w:after="120"/>
              <w:rPr>
                <w:rFonts w:cstheme="minorHAnsi"/>
                <w:sz w:val="24"/>
                <w:szCs w:val="24"/>
              </w:rPr>
            </w:pPr>
            <w:r w:rsidRPr="00036039">
              <w:rPr>
                <w:rFonts w:cstheme="minorHAnsi"/>
                <w:sz w:val="24"/>
                <w:szCs w:val="24"/>
              </w:rPr>
              <w:t>Although Argyll and Bute remains at the bottom of the rankings for both these indicators, the indicators suggest rates of improvement in performance faster than the Scottish average.</w:t>
            </w:r>
          </w:p>
          <w:p w14:paraId="5773D992" w14:textId="6E60720B" w:rsidR="001D3DEE" w:rsidRDefault="001D3DEE" w:rsidP="001D3DEE">
            <w:pPr>
              <w:rPr>
                <w:sz w:val="28"/>
                <w:szCs w:val="28"/>
              </w:rPr>
            </w:pPr>
          </w:p>
        </w:tc>
      </w:tr>
      <w:tr w:rsidR="001D3DEE" w:rsidRPr="004C5A6D" w14:paraId="3A9BC253" w14:textId="77777777" w:rsidTr="001D3DEE">
        <w:trPr>
          <w:trHeight w:val="397"/>
          <w:jc w:val="center"/>
        </w:trPr>
        <w:tc>
          <w:tcPr>
            <w:tcW w:w="15309" w:type="dxa"/>
            <w:gridSpan w:val="4"/>
            <w:tcBorders>
              <w:top w:val="nil"/>
            </w:tcBorders>
            <w:shd w:val="clear" w:color="auto" w:fill="auto"/>
            <w:vAlign w:val="center"/>
          </w:tcPr>
          <w:p w14:paraId="1424735A" w14:textId="77777777" w:rsidR="001D3DEE" w:rsidRDefault="001D3DEE" w:rsidP="001D3DEE">
            <w:pPr>
              <w:rPr>
                <w:b/>
                <w:sz w:val="28"/>
                <w:szCs w:val="28"/>
              </w:rPr>
            </w:pPr>
            <w:r>
              <w:rPr>
                <w:b/>
                <w:sz w:val="28"/>
                <w:szCs w:val="28"/>
              </w:rPr>
              <w:t>LOOKING FORWARD - EXPECTED IMPACT ON INDICATOR</w:t>
            </w:r>
            <w:r w:rsidRPr="004C5A6D">
              <w:rPr>
                <w:b/>
                <w:sz w:val="28"/>
                <w:szCs w:val="28"/>
              </w:rPr>
              <w:t>:</w:t>
            </w:r>
          </w:p>
          <w:p w14:paraId="399A50C0" w14:textId="77777777" w:rsidR="001D3DEE" w:rsidRDefault="001D3DEE" w:rsidP="001D3DEE">
            <w:pPr>
              <w:rPr>
                <w:sz w:val="28"/>
                <w:szCs w:val="28"/>
              </w:rPr>
            </w:pPr>
          </w:p>
          <w:p w14:paraId="1B7FBFE9" w14:textId="77777777" w:rsidR="00FE2C8E" w:rsidRPr="0012275C" w:rsidRDefault="00FE2C8E" w:rsidP="00FE2C8E">
            <w:pPr>
              <w:rPr>
                <w:sz w:val="24"/>
                <w:szCs w:val="24"/>
              </w:rPr>
            </w:pPr>
            <w:r>
              <w:rPr>
                <w:sz w:val="24"/>
                <w:szCs w:val="24"/>
              </w:rPr>
              <w:t xml:space="preserve">The Annual Status and Options Report continues to indicate that the council’s road network is making slow improvements. The availability of capital funds is unlikely to be as generous as in previous years which is likely to see a reduction in overall condition. We will continue to endeavour to maximise the investment into the road network through initiative such as the Strategic Timber Transport Fund etc. Deterioration modelling is used to help to ensure that the most proportionate and cost effective treatments are delivered and that we continue to treat as larger surface area as we possibly can through utilising methods such as surface dressing, insitu recycling etc. </w:t>
            </w:r>
          </w:p>
          <w:p w14:paraId="348633D8" w14:textId="77777777" w:rsidR="00FE2C8E" w:rsidRPr="001D3DEE" w:rsidRDefault="00FE2C8E" w:rsidP="001D3DEE">
            <w:pPr>
              <w:rPr>
                <w:sz w:val="28"/>
                <w:szCs w:val="28"/>
              </w:rPr>
            </w:pPr>
          </w:p>
          <w:p w14:paraId="55FBDEB6" w14:textId="77777777" w:rsidR="001D3DEE" w:rsidRDefault="001D3DEE" w:rsidP="009A329B">
            <w:pPr>
              <w:jc w:val="center"/>
              <w:rPr>
                <w:sz w:val="28"/>
                <w:szCs w:val="28"/>
              </w:rPr>
            </w:pPr>
          </w:p>
        </w:tc>
      </w:tr>
    </w:tbl>
    <w:p w14:paraId="08FEB1CA" w14:textId="77777777" w:rsidR="00492177" w:rsidRDefault="00492177">
      <w:r>
        <w:br w:type="page"/>
      </w:r>
    </w:p>
    <w:tbl>
      <w:tblPr>
        <w:tblStyle w:val="TableGrid3"/>
        <w:tblW w:w="15309" w:type="dxa"/>
        <w:jc w:val="center"/>
        <w:tblLook w:val="04A0" w:firstRow="1" w:lastRow="0" w:firstColumn="1" w:lastColumn="0" w:noHBand="0" w:noVBand="1"/>
      </w:tblPr>
      <w:tblGrid>
        <w:gridCol w:w="5949"/>
        <w:gridCol w:w="1417"/>
        <w:gridCol w:w="6237"/>
        <w:gridCol w:w="1706"/>
      </w:tblGrid>
      <w:tr w:rsidR="00912400" w:rsidRPr="005D65E6" w14:paraId="49EEC6BB" w14:textId="77777777" w:rsidTr="00912400">
        <w:trPr>
          <w:trHeight w:val="794"/>
          <w:jc w:val="center"/>
        </w:trPr>
        <w:tc>
          <w:tcPr>
            <w:tcW w:w="15309" w:type="dxa"/>
            <w:gridSpan w:val="4"/>
            <w:vAlign w:val="center"/>
          </w:tcPr>
          <w:p w14:paraId="740A4B11" w14:textId="7E0D3BD9" w:rsidR="00912400" w:rsidRPr="005D65E6" w:rsidRDefault="00912400" w:rsidP="00473295">
            <w:pPr>
              <w:rPr>
                <w:b/>
                <w:sz w:val="32"/>
              </w:rPr>
            </w:pPr>
            <w:r w:rsidRPr="005D65E6">
              <w:rPr>
                <w:b/>
                <w:sz w:val="32"/>
              </w:rPr>
              <w:lastRenderedPageBreak/>
              <w:t xml:space="preserve">SERVICE: </w:t>
            </w:r>
            <w:r w:rsidR="00473295" w:rsidRPr="005D65E6">
              <w:rPr>
                <w:b/>
                <w:sz w:val="32"/>
              </w:rPr>
              <w:t xml:space="preserve">ROADS AND </w:t>
            </w:r>
            <w:r w:rsidR="00473295">
              <w:rPr>
                <w:b/>
                <w:sz w:val="32"/>
              </w:rPr>
              <w:t>INFRASTRUCTURE</w:t>
            </w:r>
          </w:p>
        </w:tc>
      </w:tr>
      <w:tr w:rsidR="004C5A6D" w:rsidRPr="00EA2864" w14:paraId="1BCD13B0" w14:textId="77777777" w:rsidTr="0008765A">
        <w:trPr>
          <w:trHeight w:val="567"/>
          <w:jc w:val="center"/>
        </w:trPr>
        <w:tc>
          <w:tcPr>
            <w:tcW w:w="15309" w:type="dxa"/>
            <w:gridSpan w:val="4"/>
            <w:vAlign w:val="center"/>
          </w:tcPr>
          <w:p w14:paraId="684AE200" w14:textId="4AFE50BD" w:rsidR="004C5A6D" w:rsidRPr="00EA2864" w:rsidRDefault="007A4485" w:rsidP="009A329B">
            <w:pPr>
              <w:pStyle w:val="Heading1"/>
              <w:spacing w:before="0"/>
              <w:outlineLvl w:val="0"/>
              <w:rPr>
                <w:b/>
                <w:color w:val="auto"/>
              </w:rPr>
            </w:pPr>
            <w:bookmarkStart w:id="43" w:name="_Toc56757721"/>
            <w:r w:rsidRPr="00EA2864">
              <w:rPr>
                <w:b/>
                <w:color w:val="auto"/>
              </w:rPr>
              <w:t>INDICATOR REF: ENV6 - The percentage</w:t>
            </w:r>
            <w:r w:rsidR="004C5A6D" w:rsidRPr="00EA2864">
              <w:rPr>
                <w:b/>
                <w:color w:val="auto"/>
              </w:rPr>
              <w:t xml:space="preserve"> of total household waste arising that is recycled</w:t>
            </w:r>
            <w:bookmarkEnd w:id="43"/>
            <w:r w:rsidR="00CA7DF1" w:rsidRPr="00EA2864">
              <w:rPr>
                <w:b/>
                <w:color w:val="auto"/>
              </w:rPr>
              <w:t xml:space="preserve"> </w:t>
            </w:r>
            <w:r w:rsidR="00CA7DF1" w:rsidRPr="00EA2864">
              <w:rPr>
                <w:b/>
                <w:color w:val="auto"/>
              </w:rPr>
              <w:tab/>
            </w:r>
          </w:p>
        </w:tc>
      </w:tr>
      <w:tr w:rsidR="00E06E41" w:rsidRPr="004C5A6D" w14:paraId="2D148737" w14:textId="77777777" w:rsidTr="0008765A">
        <w:trPr>
          <w:trHeight w:val="454"/>
          <w:jc w:val="center"/>
        </w:trPr>
        <w:tc>
          <w:tcPr>
            <w:tcW w:w="15309" w:type="dxa"/>
            <w:gridSpan w:val="4"/>
            <w:vAlign w:val="center"/>
          </w:tcPr>
          <w:p w14:paraId="2578F9D1" w14:textId="0D217A8E" w:rsidR="00E06E41" w:rsidRPr="009A2A7A" w:rsidRDefault="00E06E41" w:rsidP="00F3065C">
            <w:pPr>
              <w:jc w:val="center"/>
              <w:rPr>
                <w:b/>
                <w:color w:val="0070C0"/>
                <w:sz w:val="28"/>
                <w:szCs w:val="28"/>
              </w:rPr>
            </w:pPr>
            <w:r w:rsidRPr="00C577BD">
              <w:rPr>
                <w:b/>
                <w:color w:val="0070C0"/>
                <w:sz w:val="28"/>
                <w:szCs w:val="28"/>
              </w:rPr>
              <w:t>Performance Range:</w:t>
            </w:r>
            <w:r w:rsidR="009A2A7A" w:rsidRPr="004C7782">
              <w:rPr>
                <w:b/>
                <w:color w:val="0070C0"/>
                <w:sz w:val="28"/>
                <w:szCs w:val="28"/>
              </w:rPr>
              <w:t xml:space="preserve"> </w:t>
            </w:r>
            <w:r w:rsidR="004778C8">
              <w:rPr>
                <w:b/>
                <w:color w:val="0070C0"/>
                <w:sz w:val="28"/>
                <w:szCs w:val="28"/>
              </w:rPr>
              <w:t>10.5</w:t>
            </w:r>
            <w:r w:rsidR="009A2A7A">
              <w:rPr>
                <w:b/>
                <w:color w:val="0070C0"/>
                <w:sz w:val="28"/>
                <w:szCs w:val="28"/>
              </w:rPr>
              <w:t xml:space="preserve">% to </w:t>
            </w:r>
            <w:r w:rsidR="004778C8">
              <w:rPr>
                <w:b/>
                <w:color w:val="0070C0"/>
                <w:sz w:val="28"/>
                <w:szCs w:val="28"/>
              </w:rPr>
              <w:t>66.2</w:t>
            </w:r>
            <w:r w:rsidR="009A2A7A">
              <w:rPr>
                <w:b/>
                <w:color w:val="0070C0"/>
                <w:sz w:val="28"/>
                <w:szCs w:val="28"/>
              </w:rPr>
              <w:t>%</w:t>
            </w:r>
            <w:r w:rsidR="005E2139">
              <w:rPr>
                <w:b/>
                <w:color w:val="0070C0"/>
                <w:sz w:val="28"/>
                <w:szCs w:val="28"/>
              </w:rPr>
              <w:t xml:space="preserve"> </w:t>
            </w:r>
            <w:r w:rsidR="00F404BF">
              <w:rPr>
                <w:b/>
                <w:color w:val="0070C0"/>
                <w:sz w:val="28"/>
                <w:szCs w:val="28"/>
              </w:rPr>
              <w:t xml:space="preserve"> </w:t>
            </w:r>
            <w:r w:rsidR="005E2139" w:rsidRPr="005E2139">
              <w:rPr>
                <w:b/>
                <w:color w:val="0070C0"/>
                <w:sz w:val="28"/>
                <w:szCs w:val="28"/>
              </w:rPr>
              <w:t>(Highest is best)</w:t>
            </w:r>
          </w:p>
        </w:tc>
      </w:tr>
      <w:tr w:rsidR="004C5A6D" w:rsidRPr="004C5A6D" w14:paraId="2212AA49" w14:textId="77777777" w:rsidTr="00E83409">
        <w:trPr>
          <w:trHeight w:val="397"/>
          <w:jc w:val="center"/>
        </w:trPr>
        <w:tc>
          <w:tcPr>
            <w:tcW w:w="7366" w:type="dxa"/>
            <w:gridSpan w:val="2"/>
            <w:shd w:val="clear" w:color="auto" w:fill="D9E2F3" w:themeFill="accent5" w:themeFillTint="33"/>
            <w:vAlign w:val="center"/>
          </w:tcPr>
          <w:p w14:paraId="07941CFB" w14:textId="77777777" w:rsidR="004C5A6D" w:rsidRPr="004C5A6D" w:rsidRDefault="004C5A6D" w:rsidP="009A329B">
            <w:pPr>
              <w:jc w:val="center"/>
              <w:rPr>
                <w:b/>
                <w:sz w:val="28"/>
                <w:szCs w:val="28"/>
              </w:rPr>
            </w:pPr>
            <w:r w:rsidRPr="004C5A6D">
              <w:rPr>
                <w:b/>
                <w:sz w:val="28"/>
                <w:szCs w:val="28"/>
              </w:rPr>
              <w:t>ARGYLL AND BUTE</w:t>
            </w:r>
          </w:p>
        </w:tc>
        <w:tc>
          <w:tcPr>
            <w:tcW w:w="7943" w:type="dxa"/>
            <w:gridSpan w:val="2"/>
            <w:shd w:val="clear" w:color="auto" w:fill="D9E2F3" w:themeFill="accent5" w:themeFillTint="33"/>
            <w:vAlign w:val="center"/>
          </w:tcPr>
          <w:p w14:paraId="58286E0C" w14:textId="77777777" w:rsidR="004C5A6D" w:rsidRPr="004C5A6D" w:rsidRDefault="004C5A6D" w:rsidP="009A329B">
            <w:pPr>
              <w:jc w:val="center"/>
              <w:rPr>
                <w:b/>
                <w:sz w:val="28"/>
                <w:szCs w:val="28"/>
              </w:rPr>
            </w:pPr>
            <w:r w:rsidRPr="004C5A6D">
              <w:rPr>
                <w:b/>
                <w:sz w:val="28"/>
                <w:szCs w:val="28"/>
              </w:rPr>
              <w:t>SCOTLAND</w:t>
            </w:r>
          </w:p>
        </w:tc>
      </w:tr>
      <w:tr w:rsidR="004C5A6D" w:rsidRPr="004C5A6D" w14:paraId="18A606B8" w14:textId="77777777" w:rsidTr="0008765A">
        <w:trPr>
          <w:trHeight w:val="397"/>
          <w:jc w:val="center"/>
        </w:trPr>
        <w:tc>
          <w:tcPr>
            <w:tcW w:w="7366" w:type="dxa"/>
            <w:gridSpan w:val="2"/>
            <w:vAlign w:val="center"/>
          </w:tcPr>
          <w:p w14:paraId="411B89E3" w14:textId="5867457E" w:rsidR="004C5A6D" w:rsidRPr="00557F84" w:rsidRDefault="004778C8" w:rsidP="009A329B">
            <w:pPr>
              <w:jc w:val="center"/>
              <w:rPr>
                <w:b/>
                <w:sz w:val="28"/>
                <w:szCs w:val="28"/>
              </w:rPr>
            </w:pPr>
            <w:r>
              <w:rPr>
                <w:b/>
                <w:sz w:val="28"/>
                <w:szCs w:val="28"/>
              </w:rPr>
              <w:t>37.80</w:t>
            </w:r>
            <w:r w:rsidR="00F3065C">
              <w:rPr>
                <w:b/>
                <w:sz w:val="28"/>
                <w:szCs w:val="28"/>
              </w:rPr>
              <w:t>%</w:t>
            </w:r>
          </w:p>
        </w:tc>
        <w:tc>
          <w:tcPr>
            <w:tcW w:w="7943" w:type="dxa"/>
            <w:gridSpan w:val="2"/>
            <w:vAlign w:val="center"/>
          </w:tcPr>
          <w:p w14:paraId="58859B5C" w14:textId="721DA744" w:rsidR="004C5A6D" w:rsidRPr="004C5A6D" w:rsidRDefault="004778C8" w:rsidP="009A329B">
            <w:pPr>
              <w:jc w:val="center"/>
              <w:rPr>
                <w:b/>
                <w:sz w:val="28"/>
                <w:szCs w:val="28"/>
              </w:rPr>
            </w:pPr>
            <w:r>
              <w:rPr>
                <w:b/>
                <w:sz w:val="28"/>
                <w:szCs w:val="28"/>
              </w:rPr>
              <w:t>44.70</w:t>
            </w:r>
            <w:r w:rsidR="00F3065C">
              <w:rPr>
                <w:b/>
                <w:sz w:val="28"/>
                <w:szCs w:val="28"/>
              </w:rPr>
              <w:t>%</w:t>
            </w:r>
          </w:p>
        </w:tc>
      </w:tr>
      <w:tr w:rsidR="0008765A" w:rsidRPr="004C5A6D" w14:paraId="6E7DCA7D" w14:textId="77777777" w:rsidTr="0008765A">
        <w:trPr>
          <w:trHeight w:val="397"/>
          <w:jc w:val="center"/>
        </w:trPr>
        <w:tc>
          <w:tcPr>
            <w:tcW w:w="5949" w:type="dxa"/>
            <w:vAlign w:val="center"/>
          </w:tcPr>
          <w:p w14:paraId="345C82B5" w14:textId="5A346D11" w:rsidR="0008765A" w:rsidRPr="00557F84" w:rsidRDefault="000B0F09" w:rsidP="00F3065C">
            <w:pPr>
              <w:jc w:val="center"/>
              <w:rPr>
                <w:b/>
                <w:sz w:val="28"/>
                <w:szCs w:val="28"/>
              </w:rPr>
            </w:pPr>
            <w:r w:rsidRPr="00721B18">
              <w:rPr>
                <w:b/>
                <w:sz w:val="28"/>
                <w:szCs w:val="28"/>
              </w:rPr>
              <w:t>CHANGE 201</w:t>
            </w:r>
            <w:r w:rsidR="00F3065C">
              <w:rPr>
                <w:b/>
                <w:sz w:val="28"/>
                <w:szCs w:val="28"/>
              </w:rPr>
              <w:t>7</w:t>
            </w:r>
            <w:r w:rsidRPr="00721B18">
              <w:rPr>
                <w:b/>
                <w:sz w:val="28"/>
                <w:szCs w:val="28"/>
              </w:rPr>
              <w:t>/1</w:t>
            </w:r>
            <w:r w:rsidR="00F3065C">
              <w:rPr>
                <w:b/>
                <w:sz w:val="28"/>
                <w:szCs w:val="28"/>
              </w:rPr>
              <w:t>8</w:t>
            </w:r>
            <w:r w:rsidRPr="00721B18">
              <w:rPr>
                <w:b/>
                <w:sz w:val="28"/>
                <w:szCs w:val="28"/>
              </w:rPr>
              <w:t xml:space="preserve"> TO </w:t>
            </w:r>
            <w:r>
              <w:rPr>
                <w:b/>
                <w:sz w:val="28"/>
                <w:szCs w:val="28"/>
              </w:rPr>
              <w:t>201</w:t>
            </w:r>
            <w:r w:rsidR="00F3065C">
              <w:rPr>
                <w:b/>
                <w:sz w:val="28"/>
                <w:szCs w:val="28"/>
              </w:rPr>
              <w:t>8</w:t>
            </w:r>
            <w:r>
              <w:rPr>
                <w:b/>
                <w:sz w:val="28"/>
                <w:szCs w:val="28"/>
              </w:rPr>
              <w:t>/1</w:t>
            </w:r>
            <w:r w:rsidR="00F3065C">
              <w:rPr>
                <w:b/>
                <w:sz w:val="28"/>
                <w:szCs w:val="28"/>
              </w:rPr>
              <w:t>9</w:t>
            </w:r>
          </w:p>
        </w:tc>
        <w:tc>
          <w:tcPr>
            <w:tcW w:w="1417" w:type="dxa"/>
            <w:vAlign w:val="center"/>
          </w:tcPr>
          <w:p w14:paraId="5C0F26A1" w14:textId="3868D5B9" w:rsidR="0008765A" w:rsidRPr="00557F84" w:rsidRDefault="00426AE2" w:rsidP="009A329B">
            <w:pPr>
              <w:jc w:val="center"/>
              <w:rPr>
                <w:b/>
                <w:sz w:val="28"/>
                <w:szCs w:val="28"/>
              </w:rPr>
            </w:pPr>
            <w:r>
              <w:rPr>
                <w:b/>
                <w:sz w:val="28"/>
                <w:szCs w:val="28"/>
              </w:rPr>
              <w:t xml:space="preserve">-0.93 </w:t>
            </w:r>
            <w:r w:rsidRPr="00C14931">
              <w:rPr>
                <w:b/>
                <w:color w:val="FF0000"/>
                <w:sz w:val="28"/>
                <w:szCs w:val="28"/>
              </w:rPr>
              <w:sym w:font="Wingdings" w:char="F0EA"/>
            </w:r>
          </w:p>
        </w:tc>
        <w:tc>
          <w:tcPr>
            <w:tcW w:w="6237" w:type="dxa"/>
            <w:vAlign w:val="center"/>
          </w:tcPr>
          <w:p w14:paraId="4C49D643" w14:textId="4663994C" w:rsidR="0008765A" w:rsidRDefault="000B0F09" w:rsidP="00F3065C">
            <w:pPr>
              <w:jc w:val="center"/>
              <w:rPr>
                <w:b/>
                <w:sz w:val="28"/>
                <w:szCs w:val="28"/>
              </w:rPr>
            </w:pPr>
            <w:r>
              <w:rPr>
                <w:sz w:val="28"/>
                <w:szCs w:val="28"/>
              </w:rPr>
              <w:t>CHANGE 201</w:t>
            </w:r>
            <w:r w:rsidR="00F3065C">
              <w:rPr>
                <w:sz w:val="28"/>
                <w:szCs w:val="28"/>
              </w:rPr>
              <w:t>7</w:t>
            </w:r>
            <w:r>
              <w:rPr>
                <w:sz w:val="28"/>
                <w:szCs w:val="28"/>
              </w:rPr>
              <w:t>/1</w:t>
            </w:r>
            <w:r w:rsidR="00F3065C">
              <w:rPr>
                <w:sz w:val="28"/>
                <w:szCs w:val="28"/>
              </w:rPr>
              <w:t>8</w:t>
            </w:r>
            <w:r>
              <w:rPr>
                <w:sz w:val="28"/>
                <w:szCs w:val="28"/>
              </w:rPr>
              <w:t xml:space="preserve"> TO 201</w:t>
            </w:r>
            <w:r w:rsidR="00F3065C">
              <w:rPr>
                <w:sz w:val="28"/>
                <w:szCs w:val="28"/>
              </w:rPr>
              <w:t>8</w:t>
            </w:r>
            <w:r>
              <w:rPr>
                <w:sz w:val="28"/>
                <w:szCs w:val="28"/>
              </w:rPr>
              <w:t>/1</w:t>
            </w:r>
            <w:r w:rsidR="00F3065C">
              <w:rPr>
                <w:sz w:val="28"/>
                <w:szCs w:val="28"/>
              </w:rPr>
              <w:t>9</w:t>
            </w:r>
          </w:p>
        </w:tc>
        <w:tc>
          <w:tcPr>
            <w:tcW w:w="1706" w:type="dxa"/>
            <w:vAlign w:val="center"/>
          </w:tcPr>
          <w:p w14:paraId="47ADB822" w14:textId="352A00FF" w:rsidR="0008765A" w:rsidRDefault="00426AE2" w:rsidP="009A329B">
            <w:pPr>
              <w:jc w:val="center"/>
              <w:rPr>
                <w:b/>
                <w:sz w:val="28"/>
                <w:szCs w:val="28"/>
              </w:rPr>
            </w:pPr>
            <w:r>
              <w:rPr>
                <w:sz w:val="28"/>
                <w:szCs w:val="28"/>
              </w:rPr>
              <w:t xml:space="preserve">-0.9 </w:t>
            </w:r>
            <w:r w:rsidRPr="00C14931">
              <w:rPr>
                <w:b/>
                <w:color w:val="FF0000"/>
                <w:sz w:val="28"/>
                <w:szCs w:val="28"/>
              </w:rPr>
              <w:sym w:font="Wingdings" w:char="F0EA"/>
            </w:r>
          </w:p>
        </w:tc>
      </w:tr>
      <w:tr w:rsidR="0008765A" w:rsidRPr="004C5A6D" w14:paraId="7D151628" w14:textId="77777777" w:rsidTr="000B0F09">
        <w:trPr>
          <w:trHeight w:val="397"/>
          <w:jc w:val="center"/>
        </w:trPr>
        <w:tc>
          <w:tcPr>
            <w:tcW w:w="5949" w:type="dxa"/>
            <w:vAlign w:val="center"/>
          </w:tcPr>
          <w:p w14:paraId="6ACE0AF4" w14:textId="2426887E" w:rsidR="0008765A" w:rsidRPr="00557F84" w:rsidRDefault="000B0F09" w:rsidP="00F3065C">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w:t>
            </w:r>
            <w:r w:rsidR="00F3065C">
              <w:rPr>
                <w:b/>
                <w:sz w:val="28"/>
                <w:szCs w:val="28"/>
              </w:rPr>
              <w:t>8</w:t>
            </w:r>
            <w:r>
              <w:rPr>
                <w:b/>
                <w:sz w:val="28"/>
                <w:szCs w:val="28"/>
              </w:rPr>
              <w:t>/1</w:t>
            </w:r>
            <w:r w:rsidR="00F3065C">
              <w:rPr>
                <w:b/>
                <w:sz w:val="28"/>
                <w:szCs w:val="28"/>
              </w:rPr>
              <w:t>9</w:t>
            </w:r>
          </w:p>
        </w:tc>
        <w:tc>
          <w:tcPr>
            <w:tcW w:w="1417" w:type="dxa"/>
            <w:vAlign w:val="center"/>
          </w:tcPr>
          <w:p w14:paraId="7D87220E" w14:textId="16963FE9" w:rsidR="0008765A" w:rsidRPr="00557F84" w:rsidRDefault="00426AE2" w:rsidP="009A329B">
            <w:pPr>
              <w:jc w:val="center"/>
              <w:rPr>
                <w:b/>
                <w:sz w:val="28"/>
                <w:szCs w:val="28"/>
              </w:rPr>
            </w:pPr>
            <w:r>
              <w:rPr>
                <w:b/>
                <w:sz w:val="28"/>
                <w:szCs w:val="28"/>
              </w:rPr>
              <w:t xml:space="preserve">-3.73 </w:t>
            </w:r>
            <w:r w:rsidRPr="00C14931">
              <w:rPr>
                <w:b/>
                <w:color w:val="FF0000"/>
                <w:sz w:val="28"/>
                <w:szCs w:val="28"/>
              </w:rPr>
              <w:sym w:font="Wingdings" w:char="F0EA"/>
            </w:r>
          </w:p>
        </w:tc>
        <w:tc>
          <w:tcPr>
            <w:tcW w:w="6237" w:type="dxa"/>
            <w:tcBorders>
              <w:bottom w:val="single" w:sz="4" w:space="0" w:color="auto"/>
            </w:tcBorders>
            <w:vAlign w:val="center"/>
          </w:tcPr>
          <w:p w14:paraId="4432772F" w14:textId="41BF0840" w:rsidR="0008765A" w:rsidRDefault="000B0F09" w:rsidP="00F3065C">
            <w:pPr>
              <w:jc w:val="center"/>
              <w:rPr>
                <w:b/>
                <w:sz w:val="28"/>
                <w:szCs w:val="28"/>
              </w:rPr>
            </w:pPr>
            <w:r>
              <w:rPr>
                <w:sz w:val="28"/>
                <w:szCs w:val="28"/>
              </w:rPr>
              <w:t xml:space="preserve">CHANGE </w:t>
            </w:r>
            <w:r w:rsidRPr="00903E39">
              <w:rPr>
                <w:sz w:val="28"/>
                <w:szCs w:val="28"/>
              </w:rPr>
              <w:t xml:space="preserve">BASE YEAR </w:t>
            </w:r>
            <w:r>
              <w:rPr>
                <w:sz w:val="28"/>
                <w:szCs w:val="28"/>
              </w:rPr>
              <w:t>TO 201</w:t>
            </w:r>
            <w:r w:rsidR="00F3065C">
              <w:rPr>
                <w:sz w:val="28"/>
                <w:szCs w:val="28"/>
              </w:rPr>
              <w:t>8</w:t>
            </w:r>
            <w:r>
              <w:rPr>
                <w:sz w:val="28"/>
                <w:szCs w:val="28"/>
              </w:rPr>
              <w:t>/1</w:t>
            </w:r>
            <w:r w:rsidR="00F3065C">
              <w:rPr>
                <w:sz w:val="28"/>
                <w:szCs w:val="28"/>
              </w:rPr>
              <w:t>9</w:t>
            </w:r>
          </w:p>
        </w:tc>
        <w:tc>
          <w:tcPr>
            <w:tcW w:w="1706" w:type="dxa"/>
            <w:tcBorders>
              <w:bottom w:val="single" w:sz="4" w:space="0" w:color="auto"/>
            </w:tcBorders>
            <w:vAlign w:val="center"/>
          </w:tcPr>
          <w:p w14:paraId="5F1328E7" w14:textId="4B25DD27" w:rsidR="0008765A" w:rsidRDefault="00426AE2" w:rsidP="009A329B">
            <w:pPr>
              <w:jc w:val="center"/>
              <w:rPr>
                <w:b/>
                <w:sz w:val="28"/>
                <w:szCs w:val="28"/>
              </w:rPr>
            </w:pPr>
            <w:r>
              <w:rPr>
                <w:sz w:val="28"/>
                <w:szCs w:val="28"/>
              </w:rPr>
              <w:t xml:space="preserve">6.01 </w:t>
            </w:r>
            <w:r w:rsidRPr="00EC5E64">
              <w:rPr>
                <w:b/>
                <w:color w:val="00B050"/>
                <w:sz w:val="28"/>
                <w:szCs w:val="28"/>
              </w:rPr>
              <w:sym w:font="Wingdings" w:char="F0E9"/>
            </w:r>
          </w:p>
        </w:tc>
      </w:tr>
      <w:tr w:rsidR="000B0F09" w:rsidRPr="004C5A6D" w14:paraId="6E7056E2" w14:textId="77777777" w:rsidTr="00B318EA">
        <w:trPr>
          <w:trHeight w:val="397"/>
          <w:jc w:val="center"/>
        </w:trPr>
        <w:tc>
          <w:tcPr>
            <w:tcW w:w="7366" w:type="dxa"/>
            <w:gridSpan w:val="2"/>
            <w:tcBorders>
              <w:bottom w:val="single" w:sz="4" w:space="0" w:color="auto"/>
            </w:tcBorders>
            <w:vAlign w:val="center"/>
          </w:tcPr>
          <w:p w14:paraId="2D00007B" w14:textId="548355CD" w:rsidR="000B0F09" w:rsidRDefault="000B0F09" w:rsidP="00F3065C">
            <w:pPr>
              <w:jc w:val="center"/>
              <w:rPr>
                <w:b/>
                <w:sz w:val="28"/>
                <w:szCs w:val="28"/>
              </w:rPr>
            </w:pPr>
            <w:r w:rsidRPr="00557F84">
              <w:rPr>
                <w:b/>
                <w:sz w:val="28"/>
                <w:szCs w:val="28"/>
              </w:rPr>
              <w:t>RANK POSITION</w:t>
            </w:r>
            <w:r w:rsidRPr="00426AE2">
              <w:rPr>
                <w:b/>
                <w:sz w:val="28"/>
                <w:szCs w:val="28"/>
              </w:rPr>
              <w:t>:</w:t>
            </w:r>
            <w:r w:rsidR="00513443" w:rsidRPr="00426AE2">
              <w:rPr>
                <w:b/>
                <w:sz w:val="28"/>
                <w:szCs w:val="28"/>
              </w:rPr>
              <w:t xml:space="preserve">  </w:t>
            </w:r>
            <w:r w:rsidR="004778C8" w:rsidRPr="00426AE2">
              <w:rPr>
                <w:b/>
                <w:sz w:val="28"/>
                <w:szCs w:val="28"/>
              </w:rPr>
              <w:t>26</w:t>
            </w:r>
            <w:r w:rsidR="00513443" w:rsidRPr="00426AE2">
              <w:rPr>
                <w:b/>
                <w:sz w:val="28"/>
                <w:szCs w:val="28"/>
              </w:rPr>
              <w:t xml:space="preserve">  </w:t>
            </w:r>
            <w:r w:rsidRPr="00557F84">
              <w:rPr>
                <w:b/>
                <w:sz w:val="28"/>
                <w:szCs w:val="28"/>
              </w:rPr>
              <w:t xml:space="preserve">RANK MOVEMENT: </w:t>
            </w:r>
            <w:r w:rsidR="004778C8">
              <w:rPr>
                <w:b/>
                <w:sz w:val="28"/>
                <w:szCs w:val="28"/>
              </w:rPr>
              <w:t>0</w:t>
            </w:r>
            <w:r w:rsidR="00426AE2">
              <w:rPr>
                <w:b/>
                <w:sz w:val="28"/>
                <w:szCs w:val="28"/>
              </w:rPr>
              <w:t xml:space="preserve"> </w:t>
            </w:r>
            <w:r w:rsidR="00426AE2" w:rsidRPr="00A83E3B">
              <w:rPr>
                <w:b/>
                <w:color w:val="0070C0"/>
                <w:sz w:val="28"/>
                <w:szCs w:val="28"/>
              </w:rPr>
              <w:sym w:font="Wingdings" w:char="F0E8"/>
            </w:r>
          </w:p>
        </w:tc>
        <w:tc>
          <w:tcPr>
            <w:tcW w:w="7943" w:type="dxa"/>
            <w:gridSpan w:val="2"/>
            <w:tcBorders>
              <w:bottom w:val="nil"/>
            </w:tcBorders>
            <w:shd w:val="clear" w:color="auto" w:fill="D9D9D9" w:themeFill="background1" w:themeFillShade="D9"/>
            <w:vAlign w:val="center"/>
          </w:tcPr>
          <w:p w14:paraId="741F4393" w14:textId="77777777" w:rsidR="000B0F09" w:rsidRDefault="000B0F09" w:rsidP="009A329B">
            <w:pPr>
              <w:jc w:val="center"/>
              <w:rPr>
                <w:sz w:val="28"/>
                <w:szCs w:val="28"/>
              </w:rPr>
            </w:pPr>
          </w:p>
        </w:tc>
      </w:tr>
      <w:tr w:rsidR="000B0F09" w:rsidRPr="004C5A6D" w14:paraId="3257C79D" w14:textId="77777777" w:rsidTr="00B318EA">
        <w:trPr>
          <w:trHeight w:val="397"/>
          <w:jc w:val="center"/>
        </w:trPr>
        <w:tc>
          <w:tcPr>
            <w:tcW w:w="7366" w:type="dxa"/>
            <w:gridSpan w:val="2"/>
            <w:tcBorders>
              <w:bottom w:val="nil"/>
            </w:tcBorders>
            <w:shd w:val="clear" w:color="auto" w:fill="D9E2F3" w:themeFill="accent5" w:themeFillTint="33"/>
            <w:vAlign w:val="center"/>
          </w:tcPr>
          <w:p w14:paraId="66C21F4D" w14:textId="0A9E6303" w:rsidR="000B0F09" w:rsidRDefault="000B0F09" w:rsidP="00F3065C">
            <w:pPr>
              <w:jc w:val="center"/>
              <w:rPr>
                <w:b/>
                <w:sz w:val="28"/>
                <w:szCs w:val="28"/>
              </w:rPr>
            </w:pPr>
            <w:r>
              <w:rPr>
                <w:b/>
                <w:sz w:val="28"/>
                <w:szCs w:val="28"/>
              </w:rPr>
              <w:t>FAMILY GROUP RANKING 201</w:t>
            </w:r>
            <w:r w:rsidR="00F3065C">
              <w:rPr>
                <w:b/>
                <w:sz w:val="28"/>
                <w:szCs w:val="28"/>
              </w:rPr>
              <w:t>8</w:t>
            </w:r>
            <w:r>
              <w:rPr>
                <w:b/>
                <w:sz w:val="28"/>
                <w:szCs w:val="28"/>
              </w:rPr>
              <w:t>/1</w:t>
            </w:r>
            <w:r w:rsidR="00F3065C">
              <w:rPr>
                <w:b/>
                <w:sz w:val="28"/>
                <w:szCs w:val="28"/>
              </w:rPr>
              <w:t>9</w:t>
            </w:r>
          </w:p>
        </w:tc>
        <w:tc>
          <w:tcPr>
            <w:tcW w:w="7943" w:type="dxa"/>
            <w:gridSpan w:val="2"/>
            <w:tcBorders>
              <w:top w:val="nil"/>
              <w:bottom w:val="nil"/>
            </w:tcBorders>
            <w:shd w:val="clear" w:color="auto" w:fill="D9D9D9" w:themeFill="background1" w:themeFillShade="D9"/>
            <w:vAlign w:val="center"/>
          </w:tcPr>
          <w:p w14:paraId="4037A8E9" w14:textId="77777777" w:rsidR="000B0F09" w:rsidRDefault="000B0F09" w:rsidP="009A329B">
            <w:pPr>
              <w:jc w:val="center"/>
              <w:rPr>
                <w:sz w:val="28"/>
                <w:szCs w:val="28"/>
              </w:rPr>
            </w:pPr>
          </w:p>
        </w:tc>
      </w:tr>
      <w:tr w:rsidR="000B0F09" w:rsidRPr="004C5A6D" w14:paraId="6D78BCD7" w14:textId="77777777" w:rsidTr="00B318EA">
        <w:trPr>
          <w:trHeight w:val="397"/>
          <w:jc w:val="center"/>
        </w:trPr>
        <w:tc>
          <w:tcPr>
            <w:tcW w:w="7366" w:type="dxa"/>
            <w:gridSpan w:val="2"/>
            <w:tcBorders>
              <w:top w:val="nil"/>
            </w:tcBorders>
            <w:shd w:val="clear" w:color="auto" w:fill="D9E2F3" w:themeFill="accent5" w:themeFillTint="33"/>
            <w:vAlign w:val="center"/>
          </w:tcPr>
          <w:p w14:paraId="6C91AB1F" w14:textId="4D7F7556" w:rsidR="000B0F09" w:rsidRDefault="000B0F09" w:rsidP="00F3065C">
            <w:pPr>
              <w:jc w:val="center"/>
              <w:rPr>
                <w:b/>
                <w:sz w:val="28"/>
                <w:szCs w:val="28"/>
              </w:rPr>
            </w:pPr>
            <w:r>
              <w:rPr>
                <w:b/>
                <w:sz w:val="28"/>
                <w:szCs w:val="28"/>
              </w:rPr>
              <w:t>RANK POSITION:</w:t>
            </w:r>
            <w:r w:rsidR="00FD1CF1">
              <w:rPr>
                <w:b/>
                <w:sz w:val="28"/>
                <w:szCs w:val="28"/>
              </w:rPr>
              <w:t xml:space="preserve"> </w:t>
            </w:r>
            <w:r w:rsidR="004778C8">
              <w:rPr>
                <w:b/>
                <w:sz w:val="28"/>
                <w:szCs w:val="28"/>
              </w:rPr>
              <w:t>4</w:t>
            </w:r>
            <w:r w:rsidR="00FD1CF1">
              <w:rPr>
                <w:b/>
                <w:sz w:val="28"/>
                <w:szCs w:val="28"/>
              </w:rPr>
              <w:t xml:space="preserve">   </w:t>
            </w:r>
            <w:r>
              <w:rPr>
                <w:b/>
                <w:sz w:val="28"/>
                <w:szCs w:val="28"/>
              </w:rPr>
              <w:t>RANK MOVEMENT:</w:t>
            </w:r>
            <w:r w:rsidR="004778C8">
              <w:rPr>
                <w:b/>
                <w:sz w:val="28"/>
                <w:szCs w:val="28"/>
              </w:rPr>
              <w:t xml:space="preserve"> 0</w:t>
            </w:r>
            <w:r>
              <w:rPr>
                <w:b/>
                <w:sz w:val="28"/>
                <w:szCs w:val="28"/>
              </w:rPr>
              <w:t xml:space="preserve"> </w:t>
            </w:r>
            <w:r w:rsidR="00426AE2" w:rsidRPr="00A83E3B">
              <w:rPr>
                <w:b/>
                <w:color w:val="0070C0"/>
                <w:sz w:val="28"/>
                <w:szCs w:val="28"/>
              </w:rPr>
              <w:sym w:font="Wingdings" w:char="F0E8"/>
            </w:r>
          </w:p>
        </w:tc>
        <w:tc>
          <w:tcPr>
            <w:tcW w:w="7943" w:type="dxa"/>
            <w:gridSpan w:val="2"/>
            <w:tcBorders>
              <w:top w:val="nil"/>
            </w:tcBorders>
            <w:shd w:val="clear" w:color="auto" w:fill="D9D9D9" w:themeFill="background1" w:themeFillShade="D9"/>
            <w:vAlign w:val="center"/>
          </w:tcPr>
          <w:p w14:paraId="2B5EC357" w14:textId="77777777" w:rsidR="000B0F09" w:rsidRDefault="000B0F09" w:rsidP="009A329B">
            <w:pPr>
              <w:jc w:val="center"/>
              <w:rPr>
                <w:sz w:val="28"/>
                <w:szCs w:val="28"/>
              </w:rPr>
            </w:pPr>
          </w:p>
        </w:tc>
      </w:tr>
      <w:tr w:rsidR="000B0F09" w:rsidRPr="004C5A6D" w14:paraId="45B06FF6" w14:textId="77777777" w:rsidTr="008C4954">
        <w:trPr>
          <w:trHeight w:val="397"/>
          <w:jc w:val="center"/>
        </w:trPr>
        <w:tc>
          <w:tcPr>
            <w:tcW w:w="15309" w:type="dxa"/>
            <w:gridSpan w:val="4"/>
            <w:vAlign w:val="center"/>
          </w:tcPr>
          <w:p w14:paraId="4BF174F2" w14:textId="05A4739B" w:rsidR="000B0F09" w:rsidRPr="000B0F09" w:rsidRDefault="000B0F09" w:rsidP="000B0F09">
            <w:pPr>
              <w:rPr>
                <w:b/>
                <w:sz w:val="6"/>
                <w:szCs w:val="6"/>
              </w:rPr>
            </w:pPr>
          </w:p>
          <w:p w14:paraId="09205709" w14:textId="77777777" w:rsidR="000B0F09" w:rsidRPr="004C5A6D" w:rsidRDefault="000B0F09" w:rsidP="00876CB3">
            <w:pPr>
              <w:spacing w:after="120"/>
              <w:rPr>
                <w:b/>
                <w:sz w:val="28"/>
                <w:szCs w:val="28"/>
              </w:rPr>
            </w:pPr>
            <w:r w:rsidRPr="004C5A6D">
              <w:rPr>
                <w:b/>
                <w:sz w:val="28"/>
                <w:szCs w:val="28"/>
              </w:rPr>
              <w:t>TELLING OUR STORY:</w:t>
            </w:r>
          </w:p>
          <w:p w14:paraId="41C9FA29" w14:textId="10822222" w:rsidR="00ED17B8" w:rsidRPr="00036039" w:rsidRDefault="00ED17B8" w:rsidP="00876CB3">
            <w:pPr>
              <w:spacing w:after="120"/>
              <w:rPr>
                <w:rFonts w:cstheme="minorHAnsi"/>
                <w:sz w:val="24"/>
                <w:szCs w:val="24"/>
              </w:rPr>
            </w:pPr>
            <w:r w:rsidRPr="00036039">
              <w:rPr>
                <w:rFonts w:cstheme="minorHAnsi"/>
                <w:sz w:val="24"/>
                <w:szCs w:val="24"/>
              </w:rPr>
              <w:t>The</w:t>
            </w:r>
            <w:r w:rsidR="00876CB3">
              <w:rPr>
                <w:rFonts w:cstheme="minorHAnsi"/>
                <w:sz w:val="24"/>
                <w:szCs w:val="24"/>
              </w:rPr>
              <w:t xml:space="preserve"> </w:t>
            </w:r>
            <w:r w:rsidRPr="00036039">
              <w:rPr>
                <w:rFonts w:cstheme="minorHAnsi"/>
                <w:sz w:val="24"/>
                <w:szCs w:val="24"/>
              </w:rPr>
              <w:t>percentage of total household waste arising that is recycled fell slightly between 2017/18 and 2018/19. The fall has been broadly in line with the average for Scotland. Across Scotland, the pecentage of waste recycled fell in 23 out of 32 Councils.</w:t>
            </w:r>
          </w:p>
          <w:p w14:paraId="10F3A8B9" w14:textId="6AD95AE1" w:rsidR="00ED17B8" w:rsidRPr="00036039" w:rsidRDefault="00ED17B8" w:rsidP="00876CB3">
            <w:pPr>
              <w:spacing w:after="120"/>
              <w:rPr>
                <w:rFonts w:cstheme="minorHAnsi"/>
                <w:sz w:val="24"/>
                <w:szCs w:val="24"/>
              </w:rPr>
            </w:pPr>
            <w:r w:rsidRPr="00036039">
              <w:rPr>
                <w:rFonts w:cstheme="minorHAnsi"/>
                <w:sz w:val="24"/>
                <w:szCs w:val="24"/>
              </w:rPr>
              <w:t>Argyll and Bute's national ranking has remained unchanged for four consecutive years.</w:t>
            </w:r>
          </w:p>
          <w:p w14:paraId="0422CA1D" w14:textId="77777777" w:rsidR="00E16AE0" w:rsidRPr="000B0F09" w:rsidRDefault="00E16AE0" w:rsidP="00F3065C">
            <w:pPr>
              <w:rPr>
                <w:rFonts w:ascii="Arial" w:hAnsi="Arial" w:cs="Arial"/>
                <w:szCs w:val="28"/>
              </w:rPr>
            </w:pPr>
          </w:p>
        </w:tc>
      </w:tr>
      <w:tr w:rsidR="000B0F09" w:rsidRPr="004C5A6D" w14:paraId="1F73B0A8" w14:textId="77777777" w:rsidTr="008C4954">
        <w:trPr>
          <w:trHeight w:val="397"/>
          <w:jc w:val="center"/>
        </w:trPr>
        <w:tc>
          <w:tcPr>
            <w:tcW w:w="15309" w:type="dxa"/>
            <w:gridSpan w:val="4"/>
            <w:vAlign w:val="center"/>
          </w:tcPr>
          <w:p w14:paraId="1CC3F767" w14:textId="77777777" w:rsidR="000B0F09" w:rsidRPr="000B0F09" w:rsidRDefault="000B0F09" w:rsidP="000B0F09">
            <w:pPr>
              <w:rPr>
                <w:sz w:val="6"/>
                <w:szCs w:val="6"/>
              </w:rPr>
            </w:pPr>
          </w:p>
          <w:p w14:paraId="24F6E563" w14:textId="77777777" w:rsidR="000B0F09" w:rsidRPr="004C5A6D" w:rsidRDefault="000B0F09" w:rsidP="000B0F09">
            <w:pPr>
              <w:rPr>
                <w:b/>
                <w:sz w:val="28"/>
                <w:szCs w:val="28"/>
              </w:rPr>
            </w:pPr>
            <w:r>
              <w:rPr>
                <w:b/>
                <w:sz w:val="28"/>
                <w:szCs w:val="28"/>
              </w:rPr>
              <w:t>LOOKING FORWARD - EXPECTED IMPACT ON INDICATOR</w:t>
            </w:r>
            <w:r w:rsidRPr="004C5A6D">
              <w:rPr>
                <w:b/>
                <w:sz w:val="28"/>
                <w:szCs w:val="28"/>
              </w:rPr>
              <w:t>:</w:t>
            </w:r>
          </w:p>
          <w:p w14:paraId="76836406" w14:textId="77777777" w:rsidR="00E16AE0" w:rsidRDefault="00E16AE0" w:rsidP="00F3065C">
            <w:pPr>
              <w:rPr>
                <w:rFonts w:ascii="Arial" w:hAnsi="Arial" w:cs="Arial"/>
                <w:szCs w:val="28"/>
              </w:rPr>
            </w:pPr>
          </w:p>
          <w:p w14:paraId="29A131C4" w14:textId="4C39E4DC" w:rsidR="00FE2C8E" w:rsidRPr="006D1AAA" w:rsidRDefault="00FE2C8E" w:rsidP="00FE2C8E">
            <w:pPr>
              <w:rPr>
                <w:rFonts w:cstheme="minorHAnsi"/>
                <w:sz w:val="24"/>
                <w:szCs w:val="24"/>
              </w:rPr>
            </w:pPr>
            <w:r w:rsidRPr="006D1AAA">
              <w:rPr>
                <w:rFonts w:cstheme="minorHAnsi"/>
                <w:sz w:val="24"/>
                <w:szCs w:val="24"/>
              </w:rPr>
              <w:t xml:space="preserve">We anticipate there will be a reduction in recycling percentage for this </w:t>
            </w:r>
            <w:r w:rsidRPr="000E68D7">
              <w:rPr>
                <w:rFonts w:cstheme="minorHAnsi"/>
                <w:sz w:val="24"/>
                <w:szCs w:val="24"/>
              </w:rPr>
              <w:t>financial</w:t>
            </w:r>
            <w:r w:rsidRPr="006D1AAA">
              <w:rPr>
                <w:rFonts w:cstheme="minorHAnsi"/>
                <w:sz w:val="24"/>
                <w:szCs w:val="24"/>
              </w:rPr>
              <w:t xml:space="preserve"> year due to changes which were put in place </w:t>
            </w:r>
            <w:r w:rsidR="00A95B6B">
              <w:rPr>
                <w:rFonts w:cstheme="minorHAnsi"/>
                <w:sz w:val="24"/>
                <w:szCs w:val="24"/>
              </w:rPr>
              <w:t>as part of our response to COVID</w:t>
            </w:r>
            <w:r w:rsidRPr="006D1AAA">
              <w:rPr>
                <w:rFonts w:cstheme="minorHAnsi"/>
                <w:sz w:val="24"/>
                <w:szCs w:val="24"/>
              </w:rPr>
              <w:t>-19 and the lockdown which took place at the beginning of the financial year.</w:t>
            </w:r>
          </w:p>
          <w:p w14:paraId="5F1ABA8E" w14:textId="77777777" w:rsidR="00FE2C8E" w:rsidRPr="000B0F09" w:rsidRDefault="00FE2C8E" w:rsidP="00F3065C">
            <w:pPr>
              <w:rPr>
                <w:rFonts w:ascii="Arial" w:hAnsi="Arial" w:cs="Arial"/>
                <w:szCs w:val="28"/>
              </w:rPr>
            </w:pPr>
          </w:p>
        </w:tc>
      </w:tr>
    </w:tbl>
    <w:p w14:paraId="21040CB4" w14:textId="77777777" w:rsidR="00F3065C" w:rsidRDefault="00F3065C">
      <w:r>
        <w:br w:type="page"/>
      </w:r>
    </w:p>
    <w:tbl>
      <w:tblPr>
        <w:tblStyle w:val="TableGrid3"/>
        <w:tblW w:w="15309" w:type="dxa"/>
        <w:jc w:val="center"/>
        <w:tblLook w:val="04A0" w:firstRow="1" w:lastRow="0" w:firstColumn="1" w:lastColumn="0" w:noHBand="0" w:noVBand="1"/>
      </w:tblPr>
      <w:tblGrid>
        <w:gridCol w:w="5949"/>
        <w:gridCol w:w="1559"/>
        <w:gridCol w:w="6095"/>
        <w:gridCol w:w="1706"/>
      </w:tblGrid>
      <w:tr w:rsidR="00912400" w:rsidRPr="005D65E6" w14:paraId="02499881" w14:textId="77777777" w:rsidTr="00912400">
        <w:trPr>
          <w:trHeight w:val="794"/>
          <w:jc w:val="center"/>
        </w:trPr>
        <w:tc>
          <w:tcPr>
            <w:tcW w:w="15309" w:type="dxa"/>
            <w:gridSpan w:val="4"/>
            <w:vAlign w:val="center"/>
          </w:tcPr>
          <w:p w14:paraId="344CD30E" w14:textId="7E9B2B30" w:rsidR="00912400" w:rsidRPr="005D65E6" w:rsidRDefault="00912400" w:rsidP="00473295">
            <w:pPr>
              <w:rPr>
                <w:b/>
                <w:sz w:val="32"/>
              </w:rPr>
            </w:pPr>
            <w:r w:rsidRPr="005D65E6">
              <w:rPr>
                <w:b/>
                <w:sz w:val="32"/>
              </w:rPr>
              <w:lastRenderedPageBreak/>
              <w:t xml:space="preserve">SERVICE: </w:t>
            </w:r>
            <w:r w:rsidR="00473295" w:rsidRPr="005D65E6">
              <w:rPr>
                <w:b/>
                <w:sz w:val="32"/>
              </w:rPr>
              <w:t xml:space="preserve">ROADS AND </w:t>
            </w:r>
            <w:r w:rsidR="00473295">
              <w:rPr>
                <w:b/>
                <w:sz w:val="32"/>
              </w:rPr>
              <w:t>INFRASTRUCTURE</w:t>
            </w:r>
          </w:p>
        </w:tc>
      </w:tr>
      <w:tr w:rsidR="004C5A6D" w:rsidRPr="00EA2864" w14:paraId="41DB8509" w14:textId="77777777" w:rsidTr="000B0F09">
        <w:trPr>
          <w:trHeight w:val="567"/>
          <w:jc w:val="center"/>
        </w:trPr>
        <w:tc>
          <w:tcPr>
            <w:tcW w:w="15309" w:type="dxa"/>
            <w:gridSpan w:val="4"/>
            <w:vAlign w:val="center"/>
          </w:tcPr>
          <w:p w14:paraId="5C6C4D3A" w14:textId="196C4DA9" w:rsidR="004C5A6D" w:rsidRPr="00EA2864" w:rsidRDefault="007A4485" w:rsidP="009A329B">
            <w:pPr>
              <w:pStyle w:val="Heading1"/>
              <w:spacing w:before="0"/>
              <w:outlineLvl w:val="0"/>
              <w:rPr>
                <w:b/>
                <w:color w:val="auto"/>
              </w:rPr>
            </w:pPr>
            <w:bookmarkStart w:id="44" w:name="_Toc56757722"/>
            <w:r w:rsidRPr="00EA2864">
              <w:rPr>
                <w:b/>
                <w:color w:val="auto"/>
              </w:rPr>
              <w:t>INDICATOR REF: ENV7a - Percentage</w:t>
            </w:r>
            <w:r w:rsidR="004C5A6D" w:rsidRPr="00EA2864">
              <w:rPr>
                <w:b/>
                <w:color w:val="auto"/>
              </w:rPr>
              <w:t xml:space="preserve"> of adults satisfied with refuse collection</w:t>
            </w:r>
            <w:bookmarkEnd w:id="44"/>
            <w:r w:rsidR="00CA7DF1" w:rsidRPr="00EA2864">
              <w:rPr>
                <w:b/>
                <w:color w:val="auto"/>
              </w:rPr>
              <w:tab/>
            </w:r>
          </w:p>
        </w:tc>
      </w:tr>
      <w:tr w:rsidR="00E06E41" w:rsidRPr="004C5A6D" w14:paraId="0CFBD07A" w14:textId="77777777" w:rsidTr="000B0F09">
        <w:trPr>
          <w:trHeight w:val="454"/>
          <w:jc w:val="center"/>
        </w:trPr>
        <w:tc>
          <w:tcPr>
            <w:tcW w:w="15309" w:type="dxa"/>
            <w:gridSpan w:val="4"/>
            <w:vAlign w:val="center"/>
          </w:tcPr>
          <w:p w14:paraId="1D8B8862" w14:textId="59EE7B0A" w:rsidR="00E06E41" w:rsidRPr="009A2A7A" w:rsidRDefault="00E06E41" w:rsidP="00F3065C">
            <w:pPr>
              <w:jc w:val="center"/>
              <w:rPr>
                <w:b/>
                <w:color w:val="0070C0"/>
                <w:sz w:val="28"/>
                <w:szCs w:val="28"/>
              </w:rPr>
            </w:pPr>
            <w:r w:rsidRPr="00C577BD">
              <w:rPr>
                <w:b/>
                <w:color w:val="0070C0"/>
                <w:sz w:val="28"/>
                <w:szCs w:val="28"/>
              </w:rPr>
              <w:t>Performance Range:</w:t>
            </w:r>
            <w:r w:rsidR="009A2A7A" w:rsidRPr="004C7782">
              <w:rPr>
                <w:b/>
                <w:color w:val="0070C0"/>
                <w:sz w:val="28"/>
                <w:szCs w:val="28"/>
              </w:rPr>
              <w:t xml:space="preserve"> </w:t>
            </w:r>
            <w:r w:rsidR="004778C8">
              <w:rPr>
                <w:b/>
                <w:color w:val="0070C0"/>
                <w:sz w:val="28"/>
                <w:szCs w:val="28"/>
              </w:rPr>
              <w:t>58.7</w:t>
            </w:r>
            <w:r w:rsidR="009A2A7A">
              <w:rPr>
                <w:b/>
                <w:color w:val="0070C0"/>
                <w:sz w:val="28"/>
                <w:szCs w:val="28"/>
              </w:rPr>
              <w:t xml:space="preserve">% to </w:t>
            </w:r>
            <w:r w:rsidR="00DA7059">
              <w:rPr>
                <w:b/>
                <w:color w:val="0070C0"/>
                <w:sz w:val="28"/>
                <w:szCs w:val="28"/>
              </w:rPr>
              <w:t>90.3</w:t>
            </w:r>
            <w:r w:rsidR="009A2A7A">
              <w:rPr>
                <w:b/>
                <w:color w:val="0070C0"/>
                <w:sz w:val="28"/>
                <w:szCs w:val="28"/>
              </w:rPr>
              <w:t>%</w:t>
            </w:r>
            <w:r w:rsidR="005E2139">
              <w:rPr>
                <w:b/>
                <w:color w:val="0070C0"/>
                <w:sz w:val="28"/>
                <w:szCs w:val="28"/>
              </w:rPr>
              <w:t xml:space="preserve"> </w:t>
            </w:r>
            <w:r w:rsidR="00F404BF">
              <w:rPr>
                <w:b/>
                <w:color w:val="0070C0"/>
                <w:sz w:val="28"/>
                <w:szCs w:val="28"/>
              </w:rPr>
              <w:t xml:space="preserve"> </w:t>
            </w:r>
            <w:r w:rsidR="005E2139" w:rsidRPr="005E2139">
              <w:rPr>
                <w:b/>
                <w:color w:val="0070C0"/>
                <w:sz w:val="28"/>
                <w:szCs w:val="28"/>
              </w:rPr>
              <w:t>(Highest is best)</w:t>
            </w:r>
          </w:p>
        </w:tc>
      </w:tr>
      <w:tr w:rsidR="004C5A6D" w:rsidRPr="004C5A6D" w14:paraId="0CB26198" w14:textId="77777777" w:rsidTr="00E83409">
        <w:trPr>
          <w:trHeight w:val="397"/>
          <w:jc w:val="center"/>
        </w:trPr>
        <w:tc>
          <w:tcPr>
            <w:tcW w:w="7508" w:type="dxa"/>
            <w:gridSpan w:val="2"/>
            <w:shd w:val="clear" w:color="auto" w:fill="D9E2F3" w:themeFill="accent5" w:themeFillTint="33"/>
            <w:vAlign w:val="center"/>
          </w:tcPr>
          <w:p w14:paraId="337986A1" w14:textId="77777777" w:rsidR="004C5A6D" w:rsidRPr="004C5A6D" w:rsidRDefault="004C5A6D" w:rsidP="009A329B">
            <w:pPr>
              <w:jc w:val="center"/>
              <w:rPr>
                <w:b/>
                <w:sz w:val="28"/>
                <w:szCs w:val="28"/>
              </w:rPr>
            </w:pPr>
            <w:r w:rsidRPr="004C5A6D">
              <w:rPr>
                <w:b/>
                <w:sz w:val="28"/>
                <w:szCs w:val="28"/>
              </w:rPr>
              <w:t>ARGYLL AND BUTE</w:t>
            </w:r>
          </w:p>
        </w:tc>
        <w:tc>
          <w:tcPr>
            <w:tcW w:w="7801" w:type="dxa"/>
            <w:gridSpan w:val="2"/>
            <w:shd w:val="clear" w:color="auto" w:fill="D9E2F3" w:themeFill="accent5" w:themeFillTint="33"/>
            <w:vAlign w:val="center"/>
          </w:tcPr>
          <w:p w14:paraId="582E8BB4" w14:textId="77777777" w:rsidR="004C5A6D" w:rsidRPr="004C5A6D" w:rsidRDefault="004C5A6D" w:rsidP="009A329B">
            <w:pPr>
              <w:jc w:val="center"/>
              <w:rPr>
                <w:b/>
                <w:sz w:val="28"/>
                <w:szCs w:val="28"/>
              </w:rPr>
            </w:pPr>
            <w:r w:rsidRPr="004C5A6D">
              <w:rPr>
                <w:b/>
                <w:sz w:val="28"/>
                <w:szCs w:val="28"/>
              </w:rPr>
              <w:t>SCOTLAND</w:t>
            </w:r>
          </w:p>
        </w:tc>
      </w:tr>
      <w:tr w:rsidR="004C5A6D" w:rsidRPr="004C5A6D" w14:paraId="14A42853" w14:textId="77777777" w:rsidTr="000B0F09">
        <w:trPr>
          <w:trHeight w:val="397"/>
          <w:jc w:val="center"/>
        </w:trPr>
        <w:tc>
          <w:tcPr>
            <w:tcW w:w="7508" w:type="dxa"/>
            <w:gridSpan w:val="2"/>
            <w:vAlign w:val="center"/>
          </w:tcPr>
          <w:p w14:paraId="3256B898" w14:textId="2CF30686" w:rsidR="004C5A6D" w:rsidRPr="00DB4820" w:rsidRDefault="00DA7059" w:rsidP="009A329B">
            <w:pPr>
              <w:jc w:val="center"/>
              <w:rPr>
                <w:b/>
                <w:sz w:val="28"/>
                <w:szCs w:val="28"/>
              </w:rPr>
            </w:pPr>
            <w:r>
              <w:rPr>
                <w:b/>
                <w:sz w:val="28"/>
                <w:szCs w:val="28"/>
              </w:rPr>
              <w:t>58.7</w:t>
            </w:r>
            <w:r w:rsidR="00F3065C">
              <w:rPr>
                <w:b/>
                <w:sz w:val="28"/>
                <w:szCs w:val="28"/>
              </w:rPr>
              <w:t>%</w:t>
            </w:r>
          </w:p>
        </w:tc>
        <w:tc>
          <w:tcPr>
            <w:tcW w:w="7801" w:type="dxa"/>
            <w:gridSpan w:val="2"/>
            <w:vAlign w:val="center"/>
          </w:tcPr>
          <w:p w14:paraId="43F477C9" w14:textId="18E0F9BF" w:rsidR="004C5A6D" w:rsidRPr="004C5A6D" w:rsidRDefault="00DA7059" w:rsidP="009A329B">
            <w:pPr>
              <w:jc w:val="center"/>
              <w:rPr>
                <w:b/>
                <w:sz w:val="28"/>
                <w:szCs w:val="28"/>
              </w:rPr>
            </w:pPr>
            <w:r>
              <w:rPr>
                <w:b/>
                <w:sz w:val="28"/>
                <w:szCs w:val="28"/>
              </w:rPr>
              <w:t>76.3</w:t>
            </w:r>
            <w:r w:rsidR="00F3065C">
              <w:rPr>
                <w:b/>
                <w:sz w:val="28"/>
                <w:szCs w:val="28"/>
              </w:rPr>
              <w:t>%</w:t>
            </w:r>
          </w:p>
        </w:tc>
      </w:tr>
      <w:tr w:rsidR="000B0F09" w:rsidRPr="004C5A6D" w14:paraId="0BC291D9" w14:textId="77777777" w:rsidTr="000B0F09">
        <w:trPr>
          <w:trHeight w:val="397"/>
          <w:jc w:val="center"/>
        </w:trPr>
        <w:tc>
          <w:tcPr>
            <w:tcW w:w="5949" w:type="dxa"/>
            <w:vAlign w:val="center"/>
          </w:tcPr>
          <w:p w14:paraId="78ABA482" w14:textId="413F1D22" w:rsidR="000B0F09" w:rsidRPr="00DB4820" w:rsidRDefault="000B0F09" w:rsidP="00ED17B8">
            <w:pPr>
              <w:jc w:val="center"/>
              <w:rPr>
                <w:b/>
                <w:sz w:val="28"/>
                <w:szCs w:val="28"/>
              </w:rPr>
            </w:pPr>
            <w:r w:rsidRPr="00721B18">
              <w:rPr>
                <w:b/>
                <w:sz w:val="28"/>
                <w:szCs w:val="28"/>
              </w:rPr>
              <w:t>CHANGE 201</w:t>
            </w:r>
            <w:r w:rsidR="00ED17B8">
              <w:rPr>
                <w:b/>
                <w:sz w:val="28"/>
                <w:szCs w:val="28"/>
              </w:rPr>
              <w:t>5</w:t>
            </w:r>
            <w:r w:rsidRPr="00721B18">
              <w:rPr>
                <w:b/>
                <w:sz w:val="28"/>
                <w:szCs w:val="28"/>
              </w:rPr>
              <w:t>/1</w:t>
            </w:r>
            <w:r w:rsidR="00F3065C">
              <w:rPr>
                <w:b/>
                <w:sz w:val="28"/>
                <w:szCs w:val="28"/>
              </w:rPr>
              <w:t>8</w:t>
            </w:r>
            <w:r w:rsidRPr="00721B18">
              <w:rPr>
                <w:b/>
                <w:sz w:val="28"/>
                <w:szCs w:val="28"/>
              </w:rPr>
              <w:t xml:space="preserve"> TO </w:t>
            </w:r>
            <w:r>
              <w:rPr>
                <w:b/>
                <w:sz w:val="28"/>
                <w:szCs w:val="28"/>
              </w:rPr>
              <w:t>201</w:t>
            </w:r>
            <w:r w:rsidR="00ED17B8">
              <w:rPr>
                <w:b/>
                <w:sz w:val="28"/>
                <w:szCs w:val="28"/>
              </w:rPr>
              <w:t>6</w:t>
            </w:r>
            <w:r>
              <w:rPr>
                <w:b/>
                <w:sz w:val="28"/>
                <w:szCs w:val="28"/>
              </w:rPr>
              <w:t>/1</w:t>
            </w:r>
            <w:r w:rsidR="00F3065C">
              <w:rPr>
                <w:b/>
                <w:sz w:val="28"/>
                <w:szCs w:val="28"/>
              </w:rPr>
              <w:t>9</w:t>
            </w:r>
          </w:p>
        </w:tc>
        <w:tc>
          <w:tcPr>
            <w:tcW w:w="1559" w:type="dxa"/>
            <w:vAlign w:val="center"/>
          </w:tcPr>
          <w:p w14:paraId="6BD2FD72" w14:textId="162DD65F" w:rsidR="000B0F09" w:rsidRPr="00DB4820" w:rsidRDefault="00DA7059" w:rsidP="009A329B">
            <w:pPr>
              <w:jc w:val="center"/>
              <w:rPr>
                <w:b/>
                <w:sz w:val="28"/>
                <w:szCs w:val="28"/>
              </w:rPr>
            </w:pPr>
            <w:r>
              <w:rPr>
                <w:b/>
                <w:sz w:val="28"/>
                <w:szCs w:val="28"/>
              </w:rPr>
              <w:t>-11.3</w:t>
            </w:r>
            <w:r w:rsidR="008E5FE9">
              <w:rPr>
                <w:b/>
                <w:sz w:val="28"/>
                <w:szCs w:val="28"/>
              </w:rPr>
              <w:t xml:space="preserve"> </w:t>
            </w:r>
            <w:r w:rsidR="008E5FE9" w:rsidRPr="00C14931">
              <w:rPr>
                <w:b/>
                <w:color w:val="FF0000"/>
                <w:sz w:val="28"/>
                <w:szCs w:val="28"/>
              </w:rPr>
              <w:sym w:font="Wingdings" w:char="F0EA"/>
            </w:r>
          </w:p>
        </w:tc>
        <w:tc>
          <w:tcPr>
            <w:tcW w:w="6095" w:type="dxa"/>
            <w:vAlign w:val="center"/>
          </w:tcPr>
          <w:p w14:paraId="1851DFC0" w14:textId="5EC4B9FE" w:rsidR="000B0F09" w:rsidRDefault="000B0F09" w:rsidP="00ED17B8">
            <w:pPr>
              <w:jc w:val="center"/>
              <w:rPr>
                <w:b/>
                <w:sz w:val="28"/>
                <w:szCs w:val="28"/>
              </w:rPr>
            </w:pPr>
            <w:r>
              <w:rPr>
                <w:sz w:val="28"/>
                <w:szCs w:val="28"/>
              </w:rPr>
              <w:t>CHANGE 201</w:t>
            </w:r>
            <w:r w:rsidR="00ED17B8">
              <w:rPr>
                <w:sz w:val="28"/>
                <w:szCs w:val="28"/>
              </w:rPr>
              <w:t>5</w:t>
            </w:r>
            <w:r>
              <w:rPr>
                <w:sz w:val="28"/>
                <w:szCs w:val="28"/>
              </w:rPr>
              <w:t>/1</w:t>
            </w:r>
            <w:r w:rsidR="00F3065C">
              <w:rPr>
                <w:sz w:val="28"/>
                <w:szCs w:val="28"/>
              </w:rPr>
              <w:t>8</w:t>
            </w:r>
            <w:r>
              <w:rPr>
                <w:sz w:val="28"/>
                <w:szCs w:val="28"/>
              </w:rPr>
              <w:t xml:space="preserve"> TO 201</w:t>
            </w:r>
            <w:r w:rsidR="00ED17B8">
              <w:rPr>
                <w:sz w:val="28"/>
                <w:szCs w:val="28"/>
              </w:rPr>
              <w:t>6</w:t>
            </w:r>
            <w:r>
              <w:rPr>
                <w:sz w:val="28"/>
                <w:szCs w:val="28"/>
              </w:rPr>
              <w:t>/1</w:t>
            </w:r>
            <w:r w:rsidR="00F3065C">
              <w:rPr>
                <w:sz w:val="28"/>
                <w:szCs w:val="28"/>
              </w:rPr>
              <w:t>9</w:t>
            </w:r>
          </w:p>
        </w:tc>
        <w:tc>
          <w:tcPr>
            <w:tcW w:w="1706" w:type="dxa"/>
            <w:vAlign w:val="center"/>
          </w:tcPr>
          <w:p w14:paraId="18017A6E" w14:textId="5BC9A08B" w:rsidR="000B0F09" w:rsidRDefault="008E5FE9" w:rsidP="009A329B">
            <w:pPr>
              <w:jc w:val="center"/>
              <w:rPr>
                <w:b/>
                <w:sz w:val="28"/>
                <w:szCs w:val="28"/>
              </w:rPr>
            </w:pPr>
            <w:r>
              <w:rPr>
                <w:sz w:val="28"/>
                <w:szCs w:val="28"/>
              </w:rPr>
              <w:t xml:space="preserve">-0.9 </w:t>
            </w:r>
            <w:r w:rsidRPr="00C14931">
              <w:rPr>
                <w:b/>
                <w:color w:val="FF0000"/>
                <w:sz w:val="28"/>
                <w:szCs w:val="28"/>
              </w:rPr>
              <w:sym w:font="Wingdings" w:char="F0EA"/>
            </w:r>
          </w:p>
        </w:tc>
      </w:tr>
      <w:tr w:rsidR="000B0F09" w:rsidRPr="004C5A6D" w14:paraId="71174633" w14:textId="77777777" w:rsidTr="000B0F09">
        <w:trPr>
          <w:trHeight w:val="397"/>
          <w:jc w:val="center"/>
        </w:trPr>
        <w:tc>
          <w:tcPr>
            <w:tcW w:w="5949" w:type="dxa"/>
            <w:vAlign w:val="center"/>
          </w:tcPr>
          <w:p w14:paraId="4261FB0A" w14:textId="1272E1D8" w:rsidR="000B0F09" w:rsidRPr="00721B18" w:rsidRDefault="000B0F09" w:rsidP="00ED17B8">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w:t>
            </w:r>
            <w:r w:rsidR="00ED17B8">
              <w:rPr>
                <w:b/>
                <w:sz w:val="28"/>
                <w:szCs w:val="28"/>
              </w:rPr>
              <w:t>6</w:t>
            </w:r>
            <w:r>
              <w:rPr>
                <w:b/>
                <w:sz w:val="28"/>
                <w:szCs w:val="28"/>
              </w:rPr>
              <w:t>/1</w:t>
            </w:r>
            <w:r w:rsidR="00F3065C">
              <w:rPr>
                <w:b/>
                <w:sz w:val="28"/>
                <w:szCs w:val="28"/>
              </w:rPr>
              <w:t>9</w:t>
            </w:r>
          </w:p>
        </w:tc>
        <w:tc>
          <w:tcPr>
            <w:tcW w:w="1559" w:type="dxa"/>
            <w:vAlign w:val="center"/>
          </w:tcPr>
          <w:p w14:paraId="43E873DE" w14:textId="609B5B9F" w:rsidR="000B0F09" w:rsidRPr="00DB4820" w:rsidRDefault="00DA7059" w:rsidP="009A329B">
            <w:pPr>
              <w:jc w:val="center"/>
              <w:rPr>
                <w:b/>
                <w:sz w:val="28"/>
                <w:szCs w:val="28"/>
              </w:rPr>
            </w:pPr>
            <w:r>
              <w:rPr>
                <w:b/>
                <w:sz w:val="28"/>
                <w:szCs w:val="28"/>
              </w:rPr>
              <w:t>-31.03</w:t>
            </w:r>
            <w:r w:rsidR="008E5FE9">
              <w:rPr>
                <w:b/>
                <w:sz w:val="28"/>
                <w:szCs w:val="28"/>
              </w:rPr>
              <w:t xml:space="preserve"> </w:t>
            </w:r>
            <w:r w:rsidR="008E5FE9" w:rsidRPr="00C14931">
              <w:rPr>
                <w:b/>
                <w:color w:val="FF0000"/>
                <w:sz w:val="28"/>
                <w:szCs w:val="28"/>
              </w:rPr>
              <w:sym w:font="Wingdings" w:char="F0EA"/>
            </w:r>
          </w:p>
        </w:tc>
        <w:tc>
          <w:tcPr>
            <w:tcW w:w="6095" w:type="dxa"/>
            <w:tcBorders>
              <w:bottom w:val="single" w:sz="4" w:space="0" w:color="auto"/>
            </w:tcBorders>
            <w:vAlign w:val="center"/>
          </w:tcPr>
          <w:p w14:paraId="47B1DF31" w14:textId="3B869CF8" w:rsidR="000B0F09" w:rsidRDefault="000B0F09" w:rsidP="00ED17B8">
            <w:pPr>
              <w:jc w:val="center"/>
              <w:rPr>
                <w:sz w:val="28"/>
                <w:szCs w:val="28"/>
              </w:rPr>
            </w:pPr>
            <w:r>
              <w:rPr>
                <w:sz w:val="28"/>
                <w:szCs w:val="28"/>
              </w:rPr>
              <w:t xml:space="preserve">CHANGE </w:t>
            </w:r>
            <w:r w:rsidRPr="00903E39">
              <w:rPr>
                <w:sz w:val="28"/>
                <w:szCs w:val="28"/>
              </w:rPr>
              <w:t xml:space="preserve">BASE YEAR </w:t>
            </w:r>
            <w:r>
              <w:rPr>
                <w:sz w:val="28"/>
                <w:szCs w:val="28"/>
              </w:rPr>
              <w:t>TO 201</w:t>
            </w:r>
            <w:r w:rsidR="00ED17B8">
              <w:rPr>
                <w:sz w:val="28"/>
                <w:szCs w:val="28"/>
              </w:rPr>
              <w:t>6</w:t>
            </w:r>
            <w:r>
              <w:rPr>
                <w:sz w:val="28"/>
                <w:szCs w:val="28"/>
              </w:rPr>
              <w:t>/1</w:t>
            </w:r>
            <w:r w:rsidR="00F3065C">
              <w:rPr>
                <w:sz w:val="28"/>
                <w:szCs w:val="28"/>
              </w:rPr>
              <w:t>9</w:t>
            </w:r>
          </w:p>
        </w:tc>
        <w:tc>
          <w:tcPr>
            <w:tcW w:w="1706" w:type="dxa"/>
            <w:tcBorders>
              <w:bottom w:val="single" w:sz="4" w:space="0" w:color="auto"/>
            </w:tcBorders>
            <w:vAlign w:val="center"/>
          </w:tcPr>
          <w:p w14:paraId="0DCC48F3" w14:textId="4B50273A" w:rsidR="000B0F09" w:rsidRDefault="008E5FE9" w:rsidP="00F3065C">
            <w:pPr>
              <w:jc w:val="center"/>
              <w:rPr>
                <w:sz w:val="28"/>
                <w:szCs w:val="28"/>
              </w:rPr>
            </w:pPr>
            <w:r>
              <w:rPr>
                <w:sz w:val="28"/>
                <w:szCs w:val="28"/>
              </w:rPr>
              <w:t xml:space="preserve">6.01 </w:t>
            </w:r>
            <w:r w:rsidRPr="00EC5E64">
              <w:rPr>
                <w:b/>
                <w:color w:val="00B050"/>
                <w:sz w:val="28"/>
                <w:szCs w:val="28"/>
              </w:rPr>
              <w:sym w:font="Wingdings" w:char="F0E9"/>
            </w:r>
          </w:p>
        </w:tc>
      </w:tr>
      <w:tr w:rsidR="000B0F09" w:rsidRPr="004C5A6D" w14:paraId="57FD4196" w14:textId="77777777" w:rsidTr="00B318EA">
        <w:trPr>
          <w:trHeight w:val="397"/>
          <w:jc w:val="center"/>
        </w:trPr>
        <w:tc>
          <w:tcPr>
            <w:tcW w:w="7508" w:type="dxa"/>
            <w:gridSpan w:val="2"/>
            <w:tcBorders>
              <w:bottom w:val="single" w:sz="4" w:space="0" w:color="auto"/>
            </w:tcBorders>
            <w:vAlign w:val="center"/>
          </w:tcPr>
          <w:p w14:paraId="24ED0E03" w14:textId="45A74AA0" w:rsidR="000B0F09" w:rsidRPr="00DB4820" w:rsidRDefault="000B0F09" w:rsidP="00F3065C">
            <w:pPr>
              <w:jc w:val="center"/>
              <w:rPr>
                <w:b/>
                <w:sz w:val="28"/>
                <w:szCs w:val="28"/>
              </w:rPr>
            </w:pPr>
            <w:r w:rsidRPr="00DB4820">
              <w:rPr>
                <w:b/>
                <w:sz w:val="28"/>
                <w:szCs w:val="28"/>
              </w:rPr>
              <w:t>RANK POSITION</w:t>
            </w:r>
            <w:r w:rsidRPr="008E5FE9">
              <w:rPr>
                <w:b/>
                <w:sz w:val="28"/>
                <w:szCs w:val="28"/>
              </w:rPr>
              <w:t>:</w:t>
            </w:r>
            <w:r w:rsidR="00513443" w:rsidRPr="008E5FE9">
              <w:rPr>
                <w:b/>
                <w:sz w:val="28"/>
                <w:szCs w:val="28"/>
              </w:rPr>
              <w:t xml:space="preserve"> </w:t>
            </w:r>
            <w:r w:rsidR="00DA7059" w:rsidRPr="008E5FE9">
              <w:rPr>
                <w:b/>
                <w:sz w:val="28"/>
                <w:szCs w:val="28"/>
              </w:rPr>
              <w:t>32</w:t>
            </w:r>
            <w:r w:rsidR="00513443" w:rsidRPr="008E5FE9">
              <w:rPr>
                <w:b/>
                <w:sz w:val="28"/>
                <w:szCs w:val="28"/>
              </w:rPr>
              <w:t xml:space="preserve">   </w:t>
            </w:r>
            <w:r w:rsidRPr="00DB4820">
              <w:rPr>
                <w:b/>
                <w:sz w:val="28"/>
                <w:szCs w:val="28"/>
              </w:rPr>
              <w:t xml:space="preserve">RANK MOVEMENT: </w:t>
            </w:r>
            <w:r w:rsidR="00DA7059">
              <w:rPr>
                <w:b/>
                <w:sz w:val="28"/>
                <w:szCs w:val="28"/>
              </w:rPr>
              <w:t>-3</w:t>
            </w:r>
            <w:r w:rsidR="008E5FE9">
              <w:rPr>
                <w:b/>
                <w:sz w:val="28"/>
                <w:szCs w:val="28"/>
              </w:rPr>
              <w:t xml:space="preserve"> </w:t>
            </w:r>
            <w:r w:rsidR="008E5FE9" w:rsidRPr="00C14931">
              <w:rPr>
                <w:b/>
                <w:color w:val="FF0000"/>
                <w:sz w:val="28"/>
                <w:szCs w:val="28"/>
              </w:rPr>
              <w:sym w:font="Wingdings" w:char="F0EA"/>
            </w:r>
          </w:p>
        </w:tc>
        <w:tc>
          <w:tcPr>
            <w:tcW w:w="7801" w:type="dxa"/>
            <w:gridSpan w:val="2"/>
            <w:tcBorders>
              <w:bottom w:val="nil"/>
            </w:tcBorders>
            <w:shd w:val="clear" w:color="auto" w:fill="D9D9D9" w:themeFill="background1" w:themeFillShade="D9"/>
            <w:vAlign w:val="center"/>
          </w:tcPr>
          <w:p w14:paraId="353F49C1" w14:textId="77777777" w:rsidR="000B0F09" w:rsidRDefault="000B0F09" w:rsidP="009A329B">
            <w:pPr>
              <w:jc w:val="center"/>
              <w:rPr>
                <w:sz w:val="28"/>
                <w:szCs w:val="28"/>
              </w:rPr>
            </w:pPr>
          </w:p>
        </w:tc>
      </w:tr>
      <w:tr w:rsidR="000B0F09" w:rsidRPr="004C5A6D" w14:paraId="0B872906" w14:textId="77777777" w:rsidTr="00B318EA">
        <w:trPr>
          <w:trHeight w:val="397"/>
          <w:jc w:val="center"/>
        </w:trPr>
        <w:tc>
          <w:tcPr>
            <w:tcW w:w="7508" w:type="dxa"/>
            <w:gridSpan w:val="2"/>
            <w:tcBorders>
              <w:bottom w:val="nil"/>
            </w:tcBorders>
            <w:shd w:val="clear" w:color="auto" w:fill="D9E2F3" w:themeFill="accent5" w:themeFillTint="33"/>
            <w:vAlign w:val="center"/>
          </w:tcPr>
          <w:p w14:paraId="29C9F47B" w14:textId="6BEEE6DA" w:rsidR="000B0F09" w:rsidRPr="00DB4820" w:rsidRDefault="000B0F09" w:rsidP="00F3065C">
            <w:pPr>
              <w:jc w:val="center"/>
              <w:rPr>
                <w:b/>
                <w:sz w:val="28"/>
                <w:szCs w:val="28"/>
              </w:rPr>
            </w:pPr>
            <w:r>
              <w:rPr>
                <w:b/>
                <w:sz w:val="28"/>
                <w:szCs w:val="28"/>
              </w:rPr>
              <w:t>FAMILY GROUP RANKING 201</w:t>
            </w:r>
            <w:r w:rsidR="00F3065C">
              <w:rPr>
                <w:b/>
                <w:sz w:val="28"/>
                <w:szCs w:val="28"/>
              </w:rPr>
              <w:t>8</w:t>
            </w:r>
            <w:r>
              <w:rPr>
                <w:b/>
                <w:sz w:val="28"/>
                <w:szCs w:val="28"/>
              </w:rPr>
              <w:t>/1</w:t>
            </w:r>
            <w:r w:rsidR="00F3065C">
              <w:rPr>
                <w:b/>
                <w:sz w:val="28"/>
                <w:szCs w:val="28"/>
              </w:rPr>
              <w:t>9</w:t>
            </w:r>
          </w:p>
        </w:tc>
        <w:tc>
          <w:tcPr>
            <w:tcW w:w="7801" w:type="dxa"/>
            <w:gridSpan w:val="2"/>
            <w:tcBorders>
              <w:top w:val="nil"/>
              <w:bottom w:val="nil"/>
            </w:tcBorders>
            <w:shd w:val="clear" w:color="auto" w:fill="D9D9D9" w:themeFill="background1" w:themeFillShade="D9"/>
            <w:vAlign w:val="center"/>
          </w:tcPr>
          <w:p w14:paraId="43B4D61F" w14:textId="77777777" w:rsidR="000B0F09" w:rsidRDefault="000B0F09" w:rsidP="009A329B">
            <w:pPr>
              <w:jc w:val="center"/>
              <w:rPr>
                <w:sz w:val="28"/>
                <w:szCs w:val="28"/>
              </w:rPr>
            </w:pPr>
          </w:p>
        </w:tc>
      </w:tr>
      <w:tr w:rsidR="000B0F09" w:rsidRPr="004C5A6D" w14:paraId="5817C6C4" w14:textId="77777777" w:rsidTr="00B318EA">
        <w:trPr>
          <w:trHeight w:val="397"/>
          <w:jc w:val="center"/>
        </w:trPr>
        <w:tc>
          <w:tcPr>
            <w:tcW w:w="7508" w:type="dxa"/>
            <w:gridSpan w:val="2"/>
            <w:tcBorders>
              <w:top w:val="nil"/>
            </w:tcBorders>
            <w:shd w:val="clear" w:color="auto" w:fill="D9E2F3" w:themeFill="accent5" w:themeFillTint="33"/>
            <w:vAlign w:val="center"/>
          </w:tcPr>
          <w:p w14:paraId="5B3D82C6" w14:textId="55C0A921" w:rsidR="000B0F09" w:rsidRPr="00DB4820" w:rsidRDefault="000B0F09" w:rsidP="00F3065C">
            <w:pPr>
              <w:jc w:val="center"/>
              <w:rPr>
                <w:b/>
                <w:sz w:val="28"/>
                <w:szCs w:val="28"/>
              </w:rPr>
            </w:pPr>
            <w:r>
              <w:rPr>
                <w:b/>
                <w:sz w:val="28"/>
                <w:szCs w:val="28"/>
              </w:rPr>
              <w:t>RANK POSITION:</w:t>
            </w:r>
            <w:r w:rsidR="00FD1CF1">
              <w:rPr>
                <w:b/>
                <w:sz w:val="28"/>
                <w:szCs w:val="28"/>
              </w:rPr>
              <w:t xml:space="preserve"> </w:t>
            </w:r>
            <w:r w:rsidR="00DA7059">
              <w:rPr>
                <w:b/>
                <w:sz w:val="28"/>
                <w:szCs w:val="28"/>
              </w:rPr>
              <w:t>8</w:t>
            </w:r>
            <w:r w:rsidR="00FD1CF1">
              <w:rPr>
                <w:b/>
                <w:sz w:val="28"/>
                <w:szCs w:val="28"/>
              </w:rPr>
              <w:t xml:space="preserve">   </w:t>
            </w:r>
            <w:r>
              <w:rPr>
                <w:b/>
                <w:sz w:val="28"/>
                <w:szCs w:val="28"/>
              </w:rPr>
              <w:t xml:space="preserve">RANK MOVEMENT: </w:t>
            </w:r>
            <w:r w:rsidR="00DA7059">
              <w:rPr>
                <w:b/>
                <w:sz w:val="28"/>
                <w:szCs w:val="28"/>
              </w:rPr>
              <w:t>0</w:t>
            </w:r>
            <w:r w:rsidR="008E5FE9">
              <w:rPr>
                <w:b/>
                <w:sz w:val="28"/>
                <w:szCs w:val="28"/>
              </w:rPr>
              <w:t xml:space="preserve"> </w:t>
            </w:r>
            <w:r w:rsidR="008E5FE9" w:rsidRPr="00A83E3B">
              <w:rPr>
                <w:b/>
                <w:color w:val="0070C0"/>
                <w:sz w:val="28"/>
                <w:szCs w:val="28"/>
              </w:rPr>
              <w:sym w:font="Wingdings" w:char="F0E8"/>
            </w:r>
          </w:p>
        </w:tc>
        <w:tc>
          <w:tcPr>
            <w:tcW w:w="7801" w:type="dxa"/>
            <w:gridSpan w:val="2"/>
            <w:tcBorders>
              <w:top w:val="nil"/>
            </w:tcBorders>
            <w:shd w:val="clear" w:color="auto" w:fill="D9D9D9" w:themeFill="background1" w:themeFillShade="D9"/>
            <w:vAlign w:val="center"/>
          </w:tcPr>
          <w:p w14:paraId="61CEDD97" w14:textId="77777777" w:rsidR="000B0F09" w:rsidRDefault="000B0F09" w:rsidP="009A329B">
            <w:pPr>
              <w:jc w:val="center"/>
              <w:rPr>
                <w:sz w:val="28"/>
                <w:szCs w:val="28"/>
              </w:rPr>
            </w:pPr>
          </w:p>
        </w:tc>
      </w:tr>
      <w:tr w:rsidR="000B0F09" w:rsidRPr="004C5A6D" w14:paraId="5F757815" w14:textId="77777777" w:rsidTr="008C4954">
        <w:trPr>
          <w:trHeight w:val="397"/>
          <w:jc w:val="center"/>
        </w:trPr>
        <w:tc>
          <w:tcPr>
            <w:tcW w:w="15309" w:type="dxa"/>
            <w:gridSpan w:val="4"/>
            <w:vAlign w:val="center"/>
          </w:tcPr>
          <w:p w14:paraId="23313009" w14:textId="77777777" w:rsidR="000B0F09" w:rsidRPr="000B0F09" w:rsidRDefault="000B0F09" w:rsidP="000B0F09">
            <w:pPr>
              <w:rPr>
                <w:sz w:val="6"/>
                <w:szCs w:val="6"/>
              </w:rPr>
            </w:pPr>
          </w:p>
          <w:p w14:paraId="310C9326" w14:textId="77777777" w:rsidR="000B0F09" w:rsidRPr="004C5A6D" w:rsidRDefault="000B0F09" w:rsidP="00876CB3">
            <w:pPr>
              <w:spacing w:after="120"/>
              <w:rPr>
                <w:b/>
                <w:sz w:val="28"/>
                <w:szCs w:val="28"/>
              </w:rPr>
            </w:pPr>
            <w:r w:rsidRPr="004C5A6D">
              <w:rPr>
                <w:b/>
                <w:sz w:val="28"/>
                <w:szCs w:val="28"/>
              </w:rPr>
              <w:t>TELLING OUR STORY:</w:t>
            </w:r>
          </w:p>
          <w:p w14:paraId="2BBCCBB3" w14:textId="77777777" w:rsidR="00ED17B8" w:rsidRPr="00036039" w:rsidRDefault="00ED17B8" w:rsidP="00876CB3">
            <w:pPr>
              <w:spacing w:after="120"/>
              <w:rPr>
                <w:rFonts w:cstheme="minorHAnsi"/>
                <w:sz w:val="24"/>
                <w:szCs w:val="24"/>
              </w:rPr>
            </w:pPr>
            <w:r w:rsidRPr="00036039">
              <w:rPr>
                <w:rFonts w:cstheme="minorHAnsi"/>
                <w:sz w:val="24"/>
                <w:szCs w:val="24"/>
              </w:rPr>
              <w:t xml:space="preserve">The indicator comes from the Scottish Household Survey, and is based on a 3 year rolling average of survey results. </w:t>
            </w:r>
          </w:p>
          <w:p w14:paraId="7B0EAAF5" w14:textId="11705157" w:rsidR="00ED17B8" w:rsidRPr="00036039" w:rsidRDefault="00ED17B8" w:rsidP="00876CB3">
            <w:pPr>
              <w:pStyle w:val="Default"/>
              <w:spacing w:after="120"/>
              <w:rPr>
                <w:rFonts w:asciiTheme="minorHAnsi" w:hAnsiTheme="minorHAnsi" w:cstheme="minorHAnsi"/>
              </w:rPr>
            </w:pPr>
            <w:r w:rsidRPr="00036039">
              <w:rPr>
                <w:rFonts w:asciiTheme="minorHAnsi" w:hAnsiTheme="minorHAnsi" w:cstheme="minorHAnsi"/>
              </w:rPr>
              <w:t>The SHS question does not help us to understand what people are dissatisfied with, specifically (e.g. frequency of bin collections, number of missed collections or time of collection). However, it is likely that the dissatisfaction will in part be caused by the introduction of 3 weekly general waste collections. Although it is sometime since this change was implemented, the three-year rolling average</w:t>
            </w:r>
            <w:r w:rsidR="004802B4" w:rsidRPr="00036039">
              <w:rPr>
                <w:rFonts w:asciiTheme="minorHAnsi" w:hAnsiTheme="minorHAnsi" w:cstheme="minorHAnsi"/>
              </w:rPr>
              <w:t>s</w:t>
            </w:r>
            <w:r w:rsidRPr="00036039">
              <w:rPr>
                <w:rFonts w:asciiTheme="minorHAnsi" w:hAnsiTheme="minorHAnsi" w:cstheme="minorHAnsi"/>
              </w:rPr>
              <w:t xml:space="preserve"> used in the SHS may have masked</w:t>
            </w:r>
            <w:r w:rsidR="004802B4" w:rsidRPr="00036039">
              <w:rPr>
                <w:rFonts w:asciiTheme="minorHAnsi" w:hAnsiTheme="minorHAnsi" w:cstheme="minorHAnsi"/>
              </w:rPr>
              <w:t xml:space="preserve"> level of dissatisfaction caused by this change.</w:t>
            </w:r>
          </w:p>
          <w:p w14:paraId="440DC619" w14:textId="77777777" w:rsidR="00ED17B8" w:rsidRPr="000B0F09" w:rsidRDefault="00ED17B8" w:rsidP="00F3065C">
            <w:pPr>
              <w:rPr>
                <w:rFonts w:ascii="Arial" w:hAnsi="Arial" w:cs="Arial"/>
                <w:szCs w:val="28"/>
              </w:rPr>
            </w:pPr>
          </w:p>
        </w:tc>
      </w:tr>
      <w:tr w:rsidR="000B0F09" w:rsidRPr="004C5A6D" w14:paraId="271753FE" w14:textId="77777777" w:rsidTr="008C4954">
        <w:trPr>
          <w:trHeight w:val="397"/>
          <w:jc w:val="center"/>
        </w:trPr>
        <w:tc>
          <w:tcPr>
            <w:tcW w:w="15309" w:type="dxa"/>
            <w:gridSpan w:val="4"/>
            <w:vAlign w:val="center"/>
          </w:tcPr>
          <w:p w14:paraId="388CB703" w14:textId="77777777" w:rsidR="000B0F09" w:rsidRPr="000B0F09" w:rsidRDefault="000B0F09" w:rsidP="000B0F09">
            <w:pPr>
              <w:rPr>
                <w:sz w:val="6"/>
                <w:szCs w:val="6"/>
              </w:rPr>
            </w:pPr>
          </w:p>
          <w:p w14:paraId="0955D1D3" w14:textId="77777777" w:rsidR="000B0F09" w:rsidRDefault="000B0F09" w:rsidP="000B0F09">
            <w:pPr>
              <w:rPr>
                <w:b/>
                <w:sz w:val="28"/>
                <w:szCs w:val="28"/>
              </w:rPr>
            </w:pPr>
            <w:r>
              <w:rPr>
                <w:b/>
                <w:sz w:val="28"/>
                <w:szCs w:val="28"/>
              </w:rPr>
              <w:t>LOOKING FORWARD - EXPECTED IMPACT ON INDICATOR</w:t>
            </w:r>
            <w:r w:rsidRPr="004C5A6D">
              <w:rPr>
                <w:b/>
                <w:sz w:val="28"/>
                <w:szCs w:val="28"/>
              </w:rPr>
              <w:t>:</w:t>
            </w:r>
          </w:p>
          <w:p w14:paraId="64AAC8AD" w14:textId="77777777" w:rsidR="00FE2C8E" w:rsidRDefault="00FE2C8E" w:rsidP="000B0F09">
            <w:pPr>
              <w:rPr>
                <w:b/>
                <w:sz w:val="28"/>
                <w:szCs w:val="28"/>
              </w:rPr>
            </w:pPr>
          </w:p>
          <w:p w14:paraId="592DCB5C" w14:textId="7B915084" w:rsidR="00FE2C8E" w:rsidRDefault="00FE2C8E" w:rsidP="00FE2C8E">
            <w:pPr>
              <w:rPr>
                <w:sz w:val="24"/>
                <w:szCs w:val="24"/>
              </w:rPr>
            </w:pPr>
            <w:r>
              <w:rPr>
                <w:sz w:val="24"/>
                <w:szCs w:val="24"/>
              </w:rPr>
              <w:t xml:space="preserve">During the national lockdown for </w:t>
            </w:r>
            <w:r w:rsidR="00A95B6B">
              <w:rPr>
                <w:sz w:val="24"/>
                <w:szCs w:val="24"/>
              </w:rPr>
              <w:t>COVID-</w:t>
            </w:r>
            <w:r>
              <w:rPr>
                <w:sz w:val="24"/>
                <w:szCs w:val="24"/>
              </w:rPr>
              <w:t>19, a combined waste and recycling service was provided which seemed to be popular, however, this service is not sustainable for financial or environmental reasons.</w:t>
            </w:r>
          </w:p>
          <w:p w14:paraId="4CDF73F2" w14:textId="77777777" w:rsidR="00FE2C8E" w:rsidRDefault="00FE2C8E" w:rsidP="00FE2C8E">
            <w:pPr>
              <w:rPr>
                <w:sz w:val="24"/>
                <w:szCs w:val="24"/>
              </w:rPr>
            </w:pPr>
          </w:p>
          <w:p w14:paraId="336FD77E" w14:textId="77777777" w:rsidR="00FE2C8E" w:rsidRPr="006D1AAA" w:rsidRDefault="00FE2C8E" w:rsidP="00FE2C8E">
            <w:pPr>
              <w:rPr>
                <w:sz w:val="24"/>
                <w:szCs w:val="24"/>
              </w:rPr>
            </w:pPr>
            <w:r>
              <w:rPr>
                <w:sz w:val="24"/>
                <w:szCs w:val="24"/>
              </w:rPr>
              <w:t>With the exception of the above we do not expect there to be any changes to this particular indicator.</w:t>
            </w:r>
          </w:p>
          <w:p w14:paraId="727C56B5" w14:textId="75EF63D8" w:rsidR="000B0F09" w:rsidRPr="00F0794F" w:rsidRDefault="000B0F09" w:rsidP="000B0F09">
            <w:pPr>
              <w:rPr>
                <w:rFonts w:ascii="Arial" w:hAnsi="Arial" w:cs="Arial"/>
                <w:szCs w:val="24"/>
              </w:rPr>
            </w:pPr>
          </w:p>
        </w:tc>
      </w:tr>
    </w:tbl>
    <w:p w14:paraId="7C9F60CA" w14:textId="77777777" w:rsidR="00F3065C" w:rsidRDefault="00F3065C">
      <w:r>
        <w:br w:type="page"/>
      </w:r>
    </w:p>
    <w:tbl>
      <w:tblPr>
        <w:tblStyle w:val="TableGrid3"/>
        <w:tblW w:w="15309" w:type="dxa"/>
        <w:jc w:val="center"/>
        <w:tblLook w:val="04A0" w:firstRow="1" w:lastRow="0" w:firstColumn="1" w:lastColumn="0" w:noHBand="0" w:noVBand="1"/>
      </w:tblPr>
      <w:tblGrid>
        <w:gridCol w:w="5807"/>
        <w:gridCol w:w="1559"/>
        <w:gridCol w:w="6521"/>
        <w:gridCol w:w="1422"/>
      </w:tblGrid>
      <w:tr w:rsidR="005D65E6" w:rsidRPr="005D65E6" w14:paraId="6DDFA232" w14:textId="77777777" w:rsidTr="00625EF6">
        <w:trPr>
          <w:trHeight w:val="794"/>
          <w:jc w:val="center"/>
        </w:trPr>
        <w:tc>
          <w:tcPr>
            <w:tcW w:w="15309" w:type="dxa"/>
            <w:gridSpan w:val="4"/>
            <w:vAlign w:val="center"/>
          </w:tcPr>
          <w:p w14:paraId="5FC6EF85" w14:textId="7B9A1DCD" w:rsidR="005D65E6" w:rsidRPr="005D65E6" w:rsidRDefault="005D65E6" w:rsidP="00473295">
            <w:pPr>
              <w:rPr>
                <w:b/>
                <w:sz w:val="32"/>
              </w:rPr>
            </w:pPr>
            <w:r w:rsidRPr="005D65E6">
              <w:rPr>
                <w:b/>
                <w:sz w:val="32"/>
              </w:rPr>
              <w:lastRenderedPageBreak/>
              <w:t xml:space="preserve">SERVICE: </w:t>
            </w:r>
            <w:r w:rsidR="00473295" w:rsidRPr="005D65E6">
              <w:rPr>
                <w:b/>
                <w:sz w:val="32"/>
              </w:rPr>
              <w:t xml:space="preserve">ROADS AND </w:t>
            </w:r>
            <w:r w:rsidR="00473295">
              <w:rPr>
                <w:b/>
                <w:sz w:val="32"/>
              </w:rPr>
              <w:t>INFRASTRUCTURE</w:t>
            </w:r>
          </w:p>
        </w:tc>
      </w:tr>
      <w:tr w:rsidR="000B0F09" w:rsidRPr="000B0F09" w14:paraId="38A4C901" w14:textId="77777777" w:rsidTr="000B0F09">
        <w:trPr>
          <w:trHeight w:val="567"/>
          <w:jc w:val="center"/>
        </w:trPr>
        <w:tc>
          <w:tcPr>
            <w:tcW w:w="15309" w:type="dxa"/>
            <w:gridSpan w:val="4"/>
            <w:vAlign w:val="center"/>
          </w:tcPr>
          <w:p w14:paraId="375E530C" w14:textId="77777777" w:rsidR="004C5A6D" w:rsidRPr="000B0F09" w:rsidRDefault="004C5A6D" w:rsidP="009A329B">
            <w:pPr>
              <w:rPr>
                <w:b/>
                <w:sz w:val="28"/>
                <w:szCs w:val="28"/>
              </w:rPr>
            </w:pPr>
            <w:bookmarkStart w:id="45" w:name="_Toc56757723"/>
            <w:r w:rsidRPr="000B0F09">
              <w:rPr>
                <w:rStyle w:val="Heading1Char"/>
                <w:b/>
                <w:color w:val="auto"/>
              </w:rPr>
              <w:t xml:space="preserve">INDICATOR REF: ENV7b - </w:t>
            </w:r>
            <w:r w:rsidR="007A4485" w:rsidRPr="000B0F09">
              <w:rPr>
                <w:rStyle w:val="Heading1Char"/>
                <w:b/>
                <w:color w:val="auto"/>
              </w:rPr>
              <w:t>Percentage</w:t>
            </w:r>
            <w:r w:rsidRPr="000B0F09">
              <w:rPr>
                <w:rStyle w:val="Heading1Char"/>
                <w:b/>
                <w:color w:val="auto"/>
              </w:rPr>
              <w:t xml:space="preserve"> of adults satisfied with street cleaning</w:t>
            </w:r>
            <w:bookmarkEnd w:id="45"/>
            <w:r w:rsidR="00CA7DF1" w:rsidRPr="000B0F09">
              <w:rPr>
                <w:rStyle w:val="Heading1Char"/>
                <w:b/>
                <w:color w:val="auto"/>
              </w:rPr>
              <w:tab/>
            </w:r>
          </w:p>
        </w:tc>
      </w:tr>
      <w:tr w:rsidR="00E06E41" w:rsidRPr="004C5A6D" w14:paraId="735E2709" w14:textId="77777777" w:rsidTr="000B0F09">
        <w:trPr>
          <w:trHeight w:val="454"/>
          <w:jc w:val="center"/>
        </w:trPr>
        <w:tc>
          <w:tcPr>
            <w:tcW w:w="15309" w:type="dxa"/>
            <w:gridSpan w:val="4"/>
            <w:vAlign w:val="center"/>
          </w:tcPr>
          <w:p w14:paraId="24BFF672" w14:textId="34273080" w:rsidR="00E06E41" w:rsidRPr="009A2A7A" w:rsidRDefault="00E06E41" w:rsidP="00F3065C">
            <w:pPr>
              <w:jc w:val="center"/>
              <w:rPr>
                <w:b/>
                <w:color w:val="0070C0"/>
                <w:sz w:val="28"/>
                <w:szCs w:val="28"/>
              </w:rPr>
            </w:pPr>
            <w:r w:rsidRPr="00C577BD">
              <w:rPr>
                <w:b/>
                <w:color w:val="0070C0"/>
                <w:sz w:val="28"/>
                <w:szCs w:val="28"/>
              </w:rPr>
              <w:t>Performance Range:</w:t>
            </w:r>
            <w:r w:rsidR="009A2A7A" w:rsidRPr="004C7782">
              <w:rPr>
                <w:b/>
                <w:color w:val="0070C0"/>
                <w:sz w:val="28"/>
                <w:szCs w:val="28"/>
              </w:rPr>
              <w:t xml:space="preserve"> </w:t>
            </w:r>
            <w:r w:rsidR="00DA7059">
              <w:rPr>
                <w:b/>
                <w:color w:val="0070C0"/>
                <w:sz w:val="28"/>
                <w:szCs w:val="28"/>
              </w:rPr>
              <w:t>55.53</w:t>
            </w:r>
            <w:r w:rsidR="009A2A7A">
              <w:rPr>
                <w:b/>
                <w:color w:val="0070C0"/>
                <w:sz w:val="28"/>
                <w:szCs w:val="28"/>
              </w:rPr>
              <w:t xml:space="preserve">% to </w:t>
            </w:r>
            <w:r w:rsidR="00DA7059">
              <w:rPr>
                <w:b/>
                <w:color w:val="0070C0"/>
                <w:sz w:val="28"/>
                <w:szCs w:val="28"/>
              </w:rPr>
              <w:t>78.9</w:t>
            </w:r>
            <w:r w:rsidR="009A2A7A">
              <w:rPr>
                <w:b/>
                <w:color w:val="0070C0"/>
                <w:sz w:val="28"/>
                <w:szCs w:val="28"/>
              </w:rPr>
              <w:t>%</w:t>
            </w:r>
            <w:r w:rsidR="005E2139">
              <w:rPr>
                <w:b/>
                <w:color w:val="0070C0"/>
                <w:sz w:val="28"/>
                <w:szCs w:val="28"/>
              </w:rPr>
              <w:t xml:space="preserve"> </w:t>
            </w:r>
            <w:r w:rsidR="00F404BF">
              <w:rPr>
                <w:b/>
                <w:color w:val="0070C0"/>
                <w:sz w:val="28"/>
                <w:szCs w:val="28"/>
              </w:rPr>
              <w:t xml:space="preserve"> </w:t>
            </w:r>
            <w:r w:rsidR="005E2139" w:rsidRPr="005E2139">
              <w:rPr>
                <w:b/>
                <w:color w:val="0070C0"/>
                <w:sz w:val="28"/>
                <w:szCs w:val="28"/>
              </w:rPr>
              <w:t>(Highest is best)</w:t>
            </w:r>
          </w:p>
        </w:tc>
      </w:tr>
      <w:tr w:rsidR="004C5A6D" w:rsidRPr="004C5A6D" w14:paraId="69EABE88" w14:textId="77777777" w:rsidTr="00E83409">
        <w:trPr>
          <w:trHeight w:val="397"/>
          <w:jc w:val="center"/>
        </w:trPr>
        <w:tc>
          <w:tcPr>
            <w:tcW w:w="7366" w:type="dxa"/>
            <w:gridSpan w:val="2"/>
            <w:shd w:val="clear" w:color="auto" w:fill="D9E2F3" w:themeFill="accent5" w:themeFillTint="33"/>
            <w:vAlign w:val="center"/>
          </w:tcPr>
          <w:p w14:paraId="7E0C8A3D" w14:textId="77777777" w:rsidR="004C5A6D" w:rsidRPr="004C5A6D" w:rsidRDefault="004C5A6D" w:rsidP="009A329B">
            <w:pPr>
              <w:jc w:val="center"/>
              <w:rPr>
                <w:b/>
                <w:sz w:val="28"/>
                <w:szCs w:val="28"/>
              </w:rPr>
            </w:pPr>
            <w:r w:rsidRPr="004C5A6D">
              <w:rPr>
                <w:b/>
                <w:sz w:val="28"/>
                <w:szCs w:val="28"/>
              </w:rPr>
              <w:t>ARGYLL AND BUTE</w:t>
            </w:r>
          </w:p>
        </w:tc>
        <w:tc>
          <w:tcPr>
            <w:tcW w:w="7943" w:type="dxa"/>
            <w:gridSpan w:val="2"/>
            <w:shd w:val="clear" w:color="auto" w:fill="D9E2F3" w:themeFill="accent5" w:themeFillTint="33"/>
            <w:vAlign w:val="center"/>
          </w:tcPr>
          <w:p w14:paraId="42203DAC" w14:textId="77777777" w:rsidR="004C5A6D" w:rsidRPr="004C5A6D" w:rsidRDefault="004C5A6D" w:rsidP="009A329B">
            <w:pPr>
              <w:jc w:val="center"/>
              <w:rPr>
                <w:b/>
                <w:sz w:val="28"/>
                <w:szCs w:val="28"/>
              </w:rPr>
            </w:pPr>
            <w:r w:rsidRPr="004C5A6D">
              <w:rPr>
                <w:b/>
                <w:sz w:val="28"/>
                <w:szCs w:val="28"/>
              </w:rPr>
              <w:t>SCOTLAND</w:t>
            </w:r>
          </w:p>
        </w:tc>
      </w:tr>
      <w:tr w:rsidR="004C5A6D" w:rsidRPr="004C5A6D" w14:paraId="4D87E519" w14:textId="77777777" w:rsidTr="000B0F09">
        <w:trPr>
          <w:trHeight w:val="397"/>
          <w:jc w:val="center"/>
        </w:trPr>
        <w:tc>
          <w:tcPr>
            <w:tcW w:w="7366" w:type="dxa"/>
            <w:gridSpan w:val="2"/>
            <w:vAlign w:val="center"/>
          </w:tcPr>
          <w:p w14:paraId="6D9C5972" w14:textId="5E7C66BB" w:rsidR="004C5A6D" w:rsidRPr="00DB4820" w:rsidRDefault="00DA7059" w:rsidP="009A329B">
            <w:pPr>
              <w:jc w:val="center"/>
              <w:rPr>
                <w:b/>
                <w:sz w:val="28"/>
                <w:szCs w:val="28"/>
              </w:rPr>
            </w:pPr>
            <w:r>
              <w:rPr>
                <w:b/>
                <w:sz w:val="28"/>
                <w:szCs w:val="28"/>
              </w:rPr>
              <w:t>68.9</w:t>
            </w:r>
            <w:r w:rsidR="00F3065C">
              <w:rPr>
                <w:b/>
                <w:sz w:val="28"/>
                <w:szCs w:val="28"/>
              </w:rPr>
              <w:t>%</w:t>
            </w:r>
          </w:p>
        </w:tc>
        <w:tc>
          <w:tcPr>
            <w:tcW w:w="7943" w:type="dxa"/>
            <w:gridSpan w:val="2"/>
            <w:vAlign w:val="center"/>
          </w:tcPr>
          <w:p w14:paraId="222055CA" w14:textId="64E81471" w:rsidR="004C5A6D" w:rsidRPr="004C5A6D" w:rsidRDefault="00DA7059" w:rsidP="009A329B">
            <w:pPr>
              <w:jc w:val="center"/>
              <w:rPr>
                <w:b/>
                <w:sz w:val="28"/>
                <w:szCs w:val="28"/>
              </w:rPr>
            </w:pPr>
            <w:r>
              <w:rPr>
                <w:b/>
                <w:sz w:val="28"/>
                <w:szCs w:val="28"/>
              </w:rPr>
              <w:t>66.3</w:t>
            </w:r>
            <w:r w:rsidR="00F3065C">
              <w:rPr>
                <w:b/>
                <w:sz w:val="28"/>
                <w:szCs w:val="28"/>
              </w:rPr>
              <w:t>%</w:t>
            </w:r>
          </w:p>
        </w:tc>
      </w:tr>
      <w:tr w:rsidR="000B0F09" w:rsidRPr="004C5A6D" w14:paraId="31DAB368" w14:textId="77777777" w:rsidTr="000B0F09">
        <w:trPr>
          <w:trHeight w:val="397"/>
          <w:jc w:val="center"/>
        </w:trPr>
        <w:tc>
          <w:tcPr>
            <w:tcW w:w="5807" w:type="dxa"/>
            <w:vAlign w:val="center"/>
          </w:tcPr>
          <w:p w14:paraId="716CCB31" w14:textId="18DD7311" w:rsidR="000B0F09" w:rsidRPr="00DB4820" w:rsidRDefault="000B0F09" w:rsidP="00F3065C">
            <w:pPr>
              <w:jc w:val="center"/>
              <w:rPr>
                <w:b/>
                <w:sz w:val="28"/>
                <w:szCs w:val="28"/>
              </w:rPr>
            </w:pPr>
            <w:r w:rsidRPr="00721B18">
              <w:rPr>
                <w:b/>
                <w:sz w:val="28"/>
                <w:szCs w:val="28"/>
              </w:rPr>
              <w:t>CHANGE 201</w:t>
            </w:r>
            <w:r w:rsidR="00F3065C">
              <w:rPr>
                <w:b/>
                <w:sz w:val="28"/>
                <w:szCs w:val="28"/>
              </w:rPr>
              <w:t>7</w:t>
            </w:r>
            <w:r w:rsidRPr="00721B18">
              <w:rPr>
                <w:b/>
                <w:sz w:val="28"/>
                <w:szCs w:val="28"/>
              </w:rPr>
              <w:t>/1</w:t>
            </w:r>
            <w:r w:rsidR="00F3065C">
              <w:rPr>
                <w:b/>
                <w:sz w:val="28"/>
                <w:szCs w:val="28"/>
              </w:rPr>
              <w:t>8</w:t>
            </w:r>
            <w:r w:rsidRPr="00721B18">
              <w:rPr>
                <w:b/>
                <w:sz w:val="28"/>
                <w:szCs w:val="28"/>
              </w:rPr>
              <w:t xml:space="preserve"> TO </w:t>
            </w:r>
            <w:r>
              <w:rPr>
                <w:b/>
                <w:sz w:val="28"/>
                <w:szCs w:val="28"/>
              </w:rPr>
              <w:t>201</w:t>
            </w:r>
            <w:r w:rsidR="00F3065C">
              <w:rPr>
                <w:b/>
                <w:sz w:val="28"/>
                <w:szCs w:val="28"/>
              </w:rPr>
              <w:t>8</w:t>
            </w:r>
            <w:r>
              <w:rPr>
                <w:b/>
                <w:sz w:val="28"/>
                <w:szCs w:val="28"/>
              </w:rPr>
              <w:t>/1</w:t>
            </w:r>
            <w:r w:rsidR="00F3065C">
              <w:rPr>
                <w:b/>
                <w:sz w:val="28"/>
                <w:szCs w:val="28"/>
              </w:rPr>
              <w:t>9</w:t>
            </w:r>
          </w:p>
        </w:tc>
        <w:tc>
          <w:tcPr>
            <w:tcW w:w="1559" w:type="dxa"/>
            <w:vAlign w:val="center"/>
          </w:tcPr>
          <w:p w14:paraId="75BC1234" w14:textId="5E96971B" w:rsidR="000B0F09" w:rsidRPr="00DB4820" w:rsidRDefault="00DA7059" w:rsidP="009A329B">
            <w:pPr>
              <w:jc w:val="center"/>
              <w:rPr>
                <w:b/>
                <w:sz w:val="28"/>
                <w:szCs w:val="28"/>
              </w:rPr>
            </w:pPr>
            <w:r>
              <w:rPr>
                <w:b/>
                <w:sz w:val="28"/>
                <w:szCs w:val="28"/>
              </w:rPr>
              <w:t>-5.77</w:t>
            </w:r>
            <w:r w:rsidR="008E5FE9">
              <w:rPr>
                <w:b/>
                <w:sz w:val="28"/>
                <w:szCs w:val="28"/>
              </w:rPr>
              <w:t xml:space="preserve"> </w:t>
            </w:r>
            <w:r w:rsidR="008E5FE9" w:rsidRPr="00C14931">
              <w:rPr>
                <w:b/>
                <w:color w:val="FF0000"/>
                <w:sz w:val="28"/>
                <w:szCs w:val="28"/>
              </w:rPr>
              <w:sym w:font="Wingdings" w:char="F0EA"/>
            </w:r>
          </w:p>
        </w:tc>
        <w:tc>
          <w:tcPr>
            <w:tcW w:w="6521" w:type="dxa"/>
            <w:vAlign w:val="center"/>
          </w:tcPr>
          <w:p w14:paraId="4B135B63" w14:textId="6517E4BF" w:rsidR="000B0F09" w:rsidRDefault="000B0F09" w:rsidP="00F3065C">
            <w:pPr>
              <w:jc w:val="center"/>
              <w:rPr>
                <w:b/>
                <w:sz w:val="28"/>
                <w:szCs w:val="28"/>
              </w:rPr>
            </w:pPr>
            <w:r>
              <w:rPr>
                <w:sz w:val="28"/>
                <w:szCs w:val="28"/>
              </w:rPr>
              <w:t>CHANGE 201</w:t>
            </w:r>
            <w:r w:rsidR="00F3065C">
              <w:rPr>
                <w:sz w:val="28"/>
                <w:szCs w:val="28"/>
              </w:rPr>
              <w:t>7</w:t>
            </w:r>
            <w:r>
              <w:rPr>
                <w:sz w:val="28"/>
                <w:szCs w:val="28"/>
              </w:rPr>
              <w:t>/1</w:t>
            </w:r>
            <w:r w:rsidR="00F3065C">
              <w:rPr>
                <w:sz w:val="28"/>
                <w:szCs w:val="28"/>
              </w:rPr>
              <w:t>8</w:t>
            </w:r>
            <w:r>
              <w:rPr>
                <w:sz w:val="28"/>
                <w:szCs w:val="28"/>
              </w:rPr>
              <w:t xml:space="preserve"> TO 201</w:t>
            </w:r>
            <w:r w:rsidR="00F3065C">
              <w:rPr>
                <w:sz w:val="28"/>
                <w:szCs w:val="28"/>
              </w:rPr>
              <w:t>8</w:t>
            </w:r>
            <w:r>
              <w:rPr>
                <w:sz w:val="28"/>
                <w:szCs w:val="28"/>
              </w:rPr>
              <w:t>/1</w:t>
            </w:r>
            <w:r w:rsidR="00F3065C">
              <w:rPr>
                <w:sz w:val="28"/>
                <w:szCs w:val="28"/>
              </w:rPr>
              <w:t>9</w:t>
            </w:r>
          </w:p>
        </w:tc>
        <w:tc>
          <w:tcPr>
            <w:tcW w:w="1422" w:type="dxa"/>
            <w:vAlign w:val="center"/>
          </w:tcPr>
          <w:p w14:paraId="40A5C09A" w14:textId="141549F5" w:rsidR="000B0F09" w:rsidRDefault="008E5FE9" w:rsidP="009A329B">
            <w:pPr>
              <w:jc w:val="center"/>
              <w:rPr>
                <w:b/>
                <w:sz w:val="28"/>
                <w:szCs w:val="28"/>
              </w:rPr>
            </w:pPr>
            <w:r>
              <w:rPr>
                <w:sz w:val="28"/>
                <w:szCs w:val="28"/>
              </w:rPr>
              <w:t xml:space="preserve">-3.37 </w:t>
            </w:r>
            <w:r w:rsidRPr="00C14931">
              <w:rPr>
                <w:b/>
                <w:color w:val="FF0000"/>
                <w:sz w:val="28"/>
                <w:szCs w:val="28"/>
              </w:rPr>
              <w:sym w:font="Wingdings" w:char="F0EA"/>
            </w:r>
          </w:p>
        </w:tc>
      </w:tr>
      <w:tr w:rsidR="000B0F09" w:rsidRPr="004C5A6D" w14:paraId="7A020E11" w14:textId="77777777" w:rsidTr="000B0F09">
        <w:trPr>
          <w:trHeight w:val="397"/>
          <w:jc w:val="center"/>
        </w:trPr>
        <w:tc>
          <w:tcPr>
            <w:tcW w:w="5807" w:type="dxa"/>
            <w:vAlign w:val="center"/>
          </w:tcPr>
          <w:p w14:paraId="2E215FFE" w14:textId="31A23475" w:rsidR="000B0F09" w:rsidRPr="00DB4820" w:rsidRDefault="000B0F09" w:rsidP="00F3065C">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w:t>
            </w:r>
            <w:r w:rsidR="00F3065C">
              <w:rPr>
                <w:b/>
                <w:sz w:val="28"/>
                <w:szCs w:val="28"/>
              </w:rPr>
              <w:t>8</w:t>
            </w:r>
            <w:r>
              <w:rPr>
                <w:b/>
                <w:sz w:val="28"/>
                <w:szCs w:val="28"/>
              </w:rPr>
              <w:t>/1</w:t>
            </w:r>
            <w:r w:rsidR="00F3065C">
              <w:rPr>
                <w:b/>
                <w:sz w:val="28"/>
                <w:szCs w:val="28"/>
              </w:rPr>
              <w:t>9</w:t>
            </w:r>
          </w:p>
        </w:tc>
        <w:tc>
          <w:tcPr>
            <w:tcW w:w="1559" w:type="dxa"/>
            <w:vAlign w:val="center"/>
          </w:tcPr>
          <w:p w14:paraId="516C6A7D" w14:textId="10120E8B" w:rsidR="000B0F09" w:rsidRPr="00DB4820" w:rsidRDefault="00DA7059" w:rsidP="009A329B">
            <w:pPr>
              <w:jc w:val="center"/>
              <w:rPr>
                <w:b/>
                <w:sz w:val="28"/>
                <w:szCs w:val="28"/>
              </w:rPr>
            </w:pPr>
            <w:r>
              <w:rPr>
                <w:b/>
                <w:sz w:val="28"/>
                <w:szCs w:val="28"/>
              </w:rPr>
              <w:t>-9.5</w:t>
            </w:r>
            <w:r w:rsidR="008E5FE9">
              <w:rPr>
                <w:b/>
                <w:sz w:val="28"/>
                <w:szCs w:val="28"/>
              </w:rPr>
              <w:t xml:space="preserve"> </w:t>
            </w:r>
            <w:r w:rsidR="008E5FE9" w:rsidRPr="00C14931">
              <w:rPr>
                <w:b/>
                <w:color w:val="FF0000"/>
                <w:sz w:val="28"/>
                <w:szCs w:val="28"/>
              </w:rPr>
              <w:sym w:font="Wingdings" w:char="F0EA"/>
            </w:r>
          </w:p>
        </w:tc>
        <w:tc>
          <w:tcPr>
            <w:tcW w:w="6521" w:type="dxa"/>
            <w:vAlign w:val="center"/>
          </w:tcPr>
          <w:p w14:paraId="473E27BC" w14:textId="04886D4E" w:rsidR="000B0F09" w:rsidRDefault="000B0F09" w:rsidP="00F3065C">
            <w:pPr>
              <w:jc w:val="center"/>
              <w:rPr>
                <w:b/>
                <w:sz w:val="28"/>
                <w:szCs w:val="28"/>
              </w:rPr>
            </w:pPr>
            <w:r>
              <w:rPr>
                <w:sz w:val="28"/>
                <w:szCs w:val="28"/>
              </w:rPr>
              <w:t xml:space="preserve">CHANGE </w:t>
            </w:r>
            <w:r w:rsidRPr="00903E39">
              <w:rPr>
                <w:sz w:val="28"/>
                <w:szCs w:val="28"/>
              </w:rPr>
              <w:t xml:space="preserve">BASE YEAR </w:t>
            </w:r>
            <w:r>
              <w:rPr>
                <w:sz w:val="28"/>
                <w:szCs w:val="28"/>
              </w:rPr>
              <w:t>TO 201</w:t>
            </w:r>
            <w:r w:rsidR="00F3065C">
              <w:rPr>
                <w:sz w:val="28"/>
                <w:szCs w:val="28"/>
              </w:rPr>
              <w:t>8</w:t>
            </w:r>
            <w:r>
              <w:rPr>
                <w:sz w:val="28"/>
                <w:szCs w:val="28"/>
              </w:rPr>
              <w:t>/1</w:t>
            </w:r>
            <w:r w:rsidR="00F3065C">
              <w:rPr>
                <w:sz w:val="28"/>
                <w:szCs w:val="28"/>
              </w:rPr>
              <w:t>9</w:t>
            </w:r>
          </w:p>
        </w:tc>
        <w:tc>
          <w:tcPr>
            <w:tcW w:w="1422" w:type="dxa"/>
            <w:vAlign w:val="center"/>
          </w:tcPr>
          <w:p w14:paraId="36872779" w14:textId="44B4CFFE" w:rsidR="000B0F09" w:rsidRDefault="008E5FE9" w:rsidP="009A329B">
            <w:pPr>
              <w:jc w:val="center"/>
              <w:rPr>
                <w:b/>
                <w:sz w:val="28"/>
                <w:szCs w:val="28"/>
              </w:rPr>
            </w:pPr>
            <w:r>
              <w:rPr>
                <w:sz w:val="28"/>
                <w:szCs w:val="28"/>
              </w:rPr>
              <w:t xml:space="preserve">-7.8 </w:t>
            </w:r>
            <w:r w:rsidRPr="00C14931">
              <w:rPr>
                <w:b/>
                <w:color w:val="FF0000"/>
                <w:sz w:val="28"/>
                <w:szCs w:val="28"/>
              </w:rPr>
              <w:sym w:font="Wingdings" w:char="F0EA"/>
            </w:r>
          </w:p>
        </w:tc>
      </w:tr>
      <w:tr w:rsidR="000B0F09" w:rsidRPr="004C5A6D" w14:paraId="304BFAAC" w14:textId="77777777" w:rsidTr="00B318EA">
        <w:trPr>
          <w:trHeight w:val="397"/>
          <w:jc w:val="center"/>
        </w:trPr>
        <w:tc>
          <w:tcPr>
            <w:tcW w:w="7366" w:type="dxa"/>
            <w:gridSpan w:val="2"/>
            <w:tcBorders>
              <w:bottom w:val="single" w:sz="4" w:space="0" w:color="auto"/>
            </w:tcBorders>
            <w:vAlign w:val="center"/>
          </w:tcPr>
          <w:p w14:paraId="3BE29C76" w14:textId="581D8666" w:rsidR="000B0F09" w:rsidRPr="00DB4820" w:rsidRDefault="000B0F09" w:rsidP="00F3065C">
            <w:pPr>
              <w:jc w:val="center"/>
              <w:rPr>
                <w:b/>
                <w:sz w:val="28"/>
                <w:szCs w:val="28"/>
              </w:rPr>
            </w:pPr>
            <w:r w:rsidRPr="00DB4820">
              <w:rPr>
                <w:b/>
                <w:sz w:val="28"/>
                <w:szCs w:val="28"/>
              </w:rPr>
              <w:t>RANK POSITION:</w:t>
            </w:r>
            <w:r w:rsidR="00513443">
              <w:rPr>
                <w:b/>
                <w:sz w:val="28"/>
                <w:szCs w:val="28"/>
              </w:rPr>
              <w:t xml:space="preserve">  </w:t>
            </w:r>
            <w:r w:rsidR="00DA7059">
              <w:rPr>
                <w:b/>
                <w:sz w:val="28"/>
                <w:szCs w:val="28"/>
              </w:rPr>
              <w:t>14</w:t>
            </w:r>
            <w:r w:rsidR="00513443">
              <w:rPr>
                <w:b/>
                <w:sz w:val="28"/>
                <w:szCs w:val="28"/>
              </w:rPr>
              <w:t xml:space="preserve">  </w:t>
            </w:r>
            <w:r w:rsidRPr="00DB4820">
              <w:rPr>
                <w:b/>
                <w:sz w:val="28"/>
                <w:szCs w:val="28"/>
              </w:rPr>
              <w:t xml:space="preserve">RANK MOVEMENT: </w:t>
            </w:r>
            <w:r w:rsidR="00DA7059">
              <w:rPr>
                <w:b/>
                <w:sz w:val="28"/>
                <w:szCs w:val="28"/>
              </w:rPr>
              <w:t>-5</w:t>
            </w:r>
            <w:r w:rsidR="008E5FE9">
              <w:rPr>
                <w:b/>
                <w:sz w:val="28"/>
                <w:szCs w:val="28"/>
              </w:rPr>
              <w:t xml:space="preserve"> </w:t>
            </w:r>
            <w:r w:rsidR="008E5FE9" w:rsidRPr="00C14931">
              <w:rPr>
                <w:b/>
                <w:color w:val="FF0000"/>
                <w:sz w:val="28"/>
                <w:szCs w:val="28"/>
              </w:rPr>
              <w:sym w:font="Wingdings" w:char="F0EA"/>
            </w:r>
          </w:p>
        </w:tc>
        <w:tc>
          <w:tcPr>
            <w:tcW w:w="7943" w:type="dxa"/>
            <w:gridSpan w:val="2"/>
            <w:tcBorders>
              <w:bottom w:val="nil"/>
            </w:tcBorders>
            <w:shd w:val="clear" w:color="auto" w:fill="D9D9D9" w:themeFill="background1" w:themeFillShade="D9"/>
            <w:vAlign w:val="center"/>
          </w:tcPr>
          <w:p w14:paraId="7F991F20" w14:textId="77777777" w:rsidR="000B0F09" w:rsidRDefault="000B0F09" w:rsidP="009A329B">
            <w:pPr>
              <w:jc w:val="center"/>
              <w:rPr>
                <w:b/>
                <w:sz w:val="28"/>
                <w:szCs w:val="28"/>
              </w:rPr>
            </w:pPr>
          </w:p>
        </w:tc>
      </w:tr>
      <w:tr w:rsidR="000B0F09" w:rsidRPr="004C5A6D" w14:paraId="4157B321" w14:textId="77777777" w:rsidTr="00B318EA">
        <w:trPr>
          <w:trHeight w:val="397"/>
          <w:jc w:val="center"/>
        </w:trPr>
        <w:tc>
          <w:tcPr>
            <w:tcW w:w="7366" w:type="dxa"/>
            <w:gridSpan w:val="2"/>
            <w:tcBorders>
              <w:bottom w:val="nil"/>
            </w:tcBorders>
            <w:shd w:val="clear" w:color="auto" w:fill="D9E2F3" w:themeFill="accent5" w:themeFillTint="33"/>
            <w:vAlign w:val="center"/>
          </w:tcPr>
          <w:p w14:paraId="6DDC6FA0" w14:textId="781A2DA3" w:rsidR="000B0F09" w:rsidRPr="00DB4820" w:rsidRDefault="000B0F09" w:rsidP="00F3065C">
            <w:pPr>
              <w:jc w:val="center"/>
              <w:rPr>
                <w:b/>
                <w:sz w:val="28"/>
                <w:szCs w:val="28"/>
              </w:rPr>
            </w:pPr>
            <w:r>
              <w:rPr>
                <w:b/>
                <w:sz w:val="28"/>
                <w:szCs w:val="28"/>
              </w:rPr>
              <w:t>FAMILY GROUP RANKING 201</w:t>
            </w:r>
            <w:r w:rsidR="00F3065C">
              <w:rPr>
                <w:b/>
                <w:sz w:val="28"/>
                <w:szCs w:val="28"/>
              </w:rPr>
              <w:t>8</w:t>
            </w:r>
            <w:r>
              <w:rPr>
                <w:b/>
                <w:sz w:val="28"/>
                <w:szCs w:val="28"/>
              </w:rPr>
              <w:t>/1</w:t>
            </w:r>
            <w:r w:rsidR="00F3065C">
              <w:rPr>
                <w:b/>
                <w:sz w:val="28"/>
                <w:szCs w:val="28"/>
              </w:rPr>
              <w:t>9</w:t>
            </w:r>
          </w:p>
        </w:tc>
        <w:tc>
          <w:tcPr>
            <w:tcW w:w="7943" w:type="dxa"/>
            <w:gridSpan w:val="2"/>
            <w:tcBorders>
              <w:top w:val="nil"/>
              <w:bottom w:val="nil"/>
            </w:tcBorders>
            <w:shd w:val="clear" w:color="auto" w:fill="D9D9D9" w:themeFill="background1" w:themeFillShade="D9"/>
            <w:vAlign w:val="center"/>
          </w:tcPr>
          <w:p w14:paraId="3CB3307B" w14:textId="77777777" w:rsidR="000B0F09" w:rsidRDefault="000B0F09" w:rsidP="009A329B">
            <w:pPr>
              <w:jc w:val="center"/>
              <w:rPr>
                <w:b/>
                <w:sz w:val="28"/>
                <w:szCs w:val="28"/>
              </w:rPr>
            </w:pPr>
          </w:p>
        </w:tc>
      </w:tr>
      <w:tr w:rsidR="000B0F09" w:rsidRPr="004C5A6D" w14:paraId="1607F79F" w14:textId="77777777" w:rsidTr="00B318EA">
        <w:trPr>
          <w:trHeight w:val="397"/>
          <w:jc w:val="center"/>
        </w:trPr>
        <w:tc>
          <w:tcPr>
            <w:tcW w:w="7366" w:type="dxa"/>
            <w:gridSpan w:val="2"/>
            <w:tcBorders>
              <w:top w:val="nil"/>
            </w:tcBorders>
            <w:shd w:val="clear" w:color="auto" w:fill="D9E2F3" w:themeFill="accent5" w:themeFillTint="33"/>
            <w:vAlign w:val="center"/>
          </w:tcPr>
          <w:p w14:paraId="5C7FC7A9" w14:textId="1952D30D" w:rsidR="000B0F09" w:rsidRPr="00DB4820" w:rsidRDefault="000B0F09" w:rsidP="00F3065C">
            <w:pPr>
              <w:jc w:val="center"/>
              <w:rPr>
                <w:b/>
                <w:sz w:val="28"/>
                <w:szCs w:val="28"/>
              </w:rPr>
            </w:pPr>
            <w:r>
              <w:rPr>
                <w:b/>
                <w:sz w:val="28"/>
                <w:szCs w:val="28"/>
              </w:rPr>
              <w:t>RANK POSITION:</w:t>
            </w:r>
            <w:r w:rsidR="00FD1CF1">
              <w:rPr>
                <w:b/>
                <w:sz w:val="28"/>
                <w:szCs w:val="28"/>
              </w:rPr>
              <w:t xml:space="preserve"> </w:t>
            </w:r>
            <w:r w:rsidR="00DA7059">
              <w:rPr>
                <w:b/>
                <w:sz w:val="28"/>
                <w:szCs w:val="28"/>
              </w:rPr>
              <w:t>5</w:t>
            </w:r>
            <w:r w:rsidR="00FD1CF1">
              <w:rPr>
                <w:b/>
                <w:sz w:val="28"/>
                <w:szCs w:val="28"/>
              </w:rPr>
              <w:t xml:space="preserve">   </w:t>
            </w:r>
            <w:r>
              <w:rPr>
                <w:b/>
                <w:sz w:val="28"/>
                <w:szCs w:val="28"/>
              </w:rPr>
              <w:t xml:space="preserve">RANK MOVEMENT: </w:t>
            </w:r>
            <w:r w:rsidR="00DA7059">
              <w:rPr>
                <w:b/>
                <w:sz w:val="28"/>
                <w:szCs w:val="28"/>
              </w:rPr>
              <w:t>-3</w:t>
            </w:r>
            <w:r w:rsidR="008E5FE9">
              <w:rPr>
                <w:b/>
                <w:sz w:val="28"/>
                <w:szCs w:val="28"/>
              </w:rPr>
              <w:t xml:space="preserve"> </w:t>
            </w:r>
            <w:r w:rsidR="008E5FE9" w:rsidRPr="00C14931">
              <w:rPr>
                <w:b/>
                <w:color w:val="FF0000"/>
                <w:sz w:val="28"/>
                <w:szCs w:val="28"/>
              </w:rPr>
              <w:sym w:font="Wingdings" w:char="F0EA"/>
            </w:r>
          </w:p>
        </w:tc>
        <w:tc>
          <w:tcPr>
            <w:tcW w:w="7943" w:type="dxa"/>
            <w:gridSpan w:val="2"/>
            <w:tcBorders>
              <w:top w:val="nil"/>
            </w:tcBorders>
            <w:shd w:val="clear" w:color="auto" w:fill="D9D9D9" w:themeFill="background1" w:themeFillShade="D9"/>
            <w:vAlign w:val="center"/>
          </w:tcPr>
          <w:p w14:paraId="2D1B93F5" w14:textId="77777777" w:rsidR="000B0F09" w:rsidRDefault="000B0F09" w:rsidP="009A329B">
            <w:pPr>
              <w:jc w:val="center"/>
              <w:rPr>
                <w:b/>
                <w:sz w:val="28"/>
                <w:szCs w:val="28"/>
              </w:rPr>
            </w:pPr>
          </w:p>
        </w:tc>
      </w:tr>
      <w:tr w:rsidR="000B0F09" w:rsidRPr="004C5A6D" w14:paraId="1420799F" w14:textId="77777777" w:rsidTr="008C4954">
        <w:trPr>
          <w:trHeight w:val="397"/>
          <w:jc w:val="center"/>
        </w:trPr>
        <w:tc>
          <w:tcPr>
            <w:tcW w:w="15309" w:type="dxa"/>
            <w:gridSpan w:val="4"/>
            <w:vAlign w:val="center"/>
          </w:tcPr>
          <w:p w14:paraId="4AB34B87" w14:textId="74480D9F" w:rsidR="000B0F09" w:rsidRPr="000B0F09" w:rsidRDefault="000B0F09" w:rsidP="000B0F09">
            <w:pPr>
              <w:rPr>
                <w:sz w:val="6"/>
                <w:szCs w:val="6"/>
              </w:rPr>
            </w:pPr>
          </w:p>
          <w:p w14:paraId="5B655FCB" w14:textId="77777777" w:rsidR="000B0F09" w:rsidRPr="004C5A6D" w:rsidRDefault="000B0F09" w:rsidP="00876CB3">
            <w:pPr>
              <w:spacing w:after="120"/>
              <w:rPr>
                <w:b/>
                <w:sz w:val="28"/>
                <w:szCs w:val="28"/>
              </w:rPr>
            </w:pPr>
            <w:r w:rsidRPr="004C5A6D">
              <w:rPr>
                <w:b/>
                <w:sz w:val="28"/>
                <w:szCs w:val="28"/>
              </w:rPr>
              <w:t>TELLING OUR STORY:</w:t>
            </w:r>
          </w:p>
          <w:p w14:paraId="58AA1075" w14:textId="77777777" w:rsidR="004802B4" w:rsidRPr="00036039" w:rsidRDefault="004802B4" w:rsidP="00876CB3">
            <w:pPr>
              <w:spacing w:after="120"/>
              <w:rPr>
                <w:rFonts w:cstheme="minorHAnsi"/>
                <w:sz w:val="24"/>
                <w:szCs w:val="24"/>
              </w:rPr>
            </w:pPr>
            <w:r w:rsidRPr="00036039">
              <w:rPr>
                <w:rFonts w:cstheme="minorHAnsi"/>
                <w:sz w:val="24"/>
                <w:szCs w:val="24"/>
              </w:rPr>
              <w:t xml:space="preserve">The indicator comes from the Scottish Household Survey, and is based on a 3 year rolling average of survey results. </w:t>
            </w:r>
          </w:p>
          <w:p w14:paraId="14CC5736" w14:textId="77777777" w:rsidR="004802B4" w:rsidRPr="00036039" w:rsidRDefault="004802B4" w:rsidP="00876CB3">
            <w:pPr>
              <w:spacing w:after="120"/>
              <w:rPr>
                <w:rFonts w:cstheme="minorHAnsi"/>
                <w:sz w:val="24"/>
                <w:szCs w:val="24"/>
              </w:rPr>
            </w:pPr>
            <w:r w:rsidRPr="00036039">
              <w:rPr>
                <w:rFonts w:cstheme="minorHAnsi"/>
                <w:sz w:val="24"/>
                <w:szCs w:val="24"/>
              </w:rPr>
              <w:t>The SHS does not provide any insight into specific causes of satisfaction/dissatisfaction.</w:t>
            </w:r>
          </w:p>
          <w:p w14:paraId="7E3A66B0" w14:textId="3348AAD9" w:rsidR="004802B4" w:rsidRPr="00036039" w:rsidRDefault="004802B4" w:rsidP="00876CB3">
            <w:pPr>
              <w:spacing w:after="120"/>
              <w:rPr>
                <w:rFonts w:cstheme="minorHAnsi"/>
                <w:sz w:val="24"/>
                <w:szCs w:val="24"/>
              </w:rPr>
            </w:pPr>
            <w:r w:rsidRPr="00036039">
              <w:rPr>
                <w:rFonts w:cstheme="minorHAnsi"/>
                <w:sz w:val="24"/>
                <w:szCs w:val="24"/>
              </w:rPr>
              <w:t>Levels of satisfaction with street cleaning has fallen across Scotland for the fourth consecutive year. Between 2017/18 and 2018/19, satisfaction with levels of street cleaning fell in all Council areas except two (Shetland Islands and Eilean Siar).</w:t>
            </w:r>
          </w:p>
          <w:p w14:paraId="0B3F8613" w14:textId="05BEB5B2" w:rsidR="004802B4" w:rsidRPr="00036039" w:rsidRDefault="004802B4" w:rsidP="00876CB3">
            <w:pPr>
              <w:spacing w:after="120"/>
              <w:rPr>
                <w:rFonts w:cstheme="minorHAnsi"/>
                <w:sz w:val="24"/>
                <w:szCs w:val="24"/>
              </w:rPr>
            </w:pPr>
            <w:r w:rsidRPr="00036039">
              <w:rPr>
                <w:rFonts w:cstheme="minorHAnsi"/>
                <w:sz w:val="24"/>
                <w:szCs w:val="24"/>
              </w:rPr>
              <w:t xml:space="preserve">Within Argyll and Bute, satisfaction fell for the second year running. Argyll and Bute's rank fell by five places between 2017/18 and 2018/19. Across the 6 data points the LGBF has for this indicator, Argyll and Bute's ranking has varied from a high of 8 (2010-14) to a low of 17 (2012-15). </w:t>
            </w:r>
          </w:p>
          <w:p w14:paraId="10CFEF6A" w14:textId="77777777" w:rsidR="004802B4" w:rsidRPr="000B0F09" w:rsidRDefault="004802B4" w:rsidP="00F3065C">
            <w:pPr>
              <w:rPr>
                <w:rFonts w:ascii="Arial" w:hAnsi="Arial" w:cs="Arial"/>
                <w:szCs w:val="28"/>
              </w:rPr>
            </w:pPr>
          </w:p>
        </w:tc>
      </w:tr>
      <w:tr w:rsidR="000B0F09" w:rsidRPr="004C5A6D" w14:paraId="6C71FB45" w14:textId="77777777" w:rsidTr="008C4954">
        <w:trPr>
          <w:trHeight w:val="397"/>
          <w:jc w:val="center"/>
        </w:trPr>
        <w:tc>
          <w:tcPr>
            <w:tcW w:w="15309" w:type="dxa"/>
            <w:gridSpan w:val="4"/>
            <w:vAlign w:val="center"/>
          </w:tcPr>
          <w:p w14:paraId="3CE68082" w14:textId="77777777" w:rsidR="000B0F09" w:rsidRPr="000B0F09" w:rsidRDefault="000B0F09" w:rsidP="000B0F09">
            <w:pPr>
              <w:rPr>
                <w:sz w:val="6"/>
                <w:szCs w:val="6"/>
              </w:rPr>
            </w:pPr>
          </w:p>
          <w:p w14:paraId="1F22CEF4" w14:textId="77777777" w:rsidR="000B0F09" w:rsidRDefault="000B0F09" w:rsidP="00FE2C8E">
            <w:pPr>
              <w:rPr>
                <w:b/>
                <w:sz w:val="28"/>
                <w:szCs w:val="28"/>
              </w:rPr>
            </w:pPr>
            <w:r>
              <w:rPr>
                <w:b/>
                <w:sz w:val="28"/>
                <w:szCs w:val="28"/>
              </w:rPr>
              <w:t>LOOKING FORWARD - EXPECTED IMPACT ON INDICATOR</w:t>
            </w:r>
            <w:r w:rsidRPr="004C5A6D">
              <w:rPr>
                <w:b/>
                <w:sz w:val="28"/>
                <w:szCs w:val="28"/>
              </w:rPr>
              <w:t>:</w:t>
            </w:r>
          </w:p>
          <w:p w14:paraId="268953C2" w14:textId="77777777" w:rsidR="00FE2C8E" w:rsidRDefault="00FE2C8E" w:rsidP="00FE2C8E">
            <w:pPr>
              <w:rPr>
                <w:b/>
                <w:sz w:val="28"/>
                <w:szCs w:val="28"/>
              </w:rPr>
            </w:pPr>
          </w:p>
          <w:p w14:paraId="16022C81" w14:textId="569DDB3F" w:rsidR="00FE2C8E" w:rsidRPr="006009A3" w:rsidRDefault="00FE2C8E" w:rsidP="00FE2C8E">
            <w:pPr>
              <w:rPr>
                <w:sz w:val="24"/>
                <w:szCs w:val="24"/>
              </w:rPr>
            </w:pPr>
            <w:r>
              <w:rPr>
                <w:sz w:val="24"/>
                <w:szCs w:val="24"/>
              </w:rPr>
              <w:t xml:space="preserve">With the anticipated budget pressures that could result in a reduction to service standards in areas such as grass cutting etc, there is a high probability that the overall cleanliness indicator may be impacted negatively and this could have an impact on the percentage of adults satisfied with street cleanliness.  </w:t>
            </w:r>
          </w:p>
        </w:tc>
      </w:tr>
    </w:tbl>
    <w:p w14:paraId="3F97DCDE" w14:textId="77777777" w:rsidR="00F3065C" w:rsidRDefault="00F3065C">
      <w:r>
        <w:br w:type="page"/>
      </w:r>
    </w:p>
    <w:p w14:paraId="417BD7D5" w14:textId="71247903" w:rsidR="00D21502" w:rsidRPr="002D0E83" w:rsidRDefault="00473295" w:rsidP="009A329B">
      <w:pPr>
        <w:pStyle w:val="Heading2"/>
        <w:spacing w:before="0" w:line="240" w:lineRule="auto"/>
        <w:jc w:val="center"/>
        <w:rPr>
          <w:b/>
          <w:color w:val="auto"/>
          <w:sz w:val="52"/>
          <w:szCs w:val="52"/>
        </w:rPr>
      </w:pPr>
      <w:bookmarkStart w:id="46" w:name="_Toc56757724"/>
      <w:r>
        <w:rPr>
          <w:b/>
          <w:color w:val="auto"/>
          <w:sz w:val="52"/>
          <w:szCs w:val="52"/>
        </w:rPr>
        <w:lastRenderedPageBreak/>
        <w:t>DEVELOPMENT AND ECONOMIC GROWTH</w:t>
      </w:r>
      <w:bookmarkEnd w:id="46"/>
    </w:p>
    <w:p w14:paraId="61D886D8" w14:textId="39964662" w:rsidR="00F0794F" w:rsidRDefault="00F0794F"/>
    <w:tbl>
      <w:tblPr>
        <w:tblStyle w:val="TableGrid4"/>
        <w:tblW w:w="15309" w:type="dxa"/>
        <w:jc w:val="center"/>
        <w:tblLook w:val="04A0" w:firstRow="1" w:lastRow="0" w:firstColumn="1" w:lastColumn="0" w:noHBand="0" w:noVBand="1"/>
      </w:tblPr>
      <w:tblGrid>
        <w:gridCol w:w="5949"/>
        <w:gridCol w:w="1559"/>
        <w:gridCol w:w="6095"/>
        <w:gridCol w:w="1706"/>
      </w:tblGrid>
      <w:tr w:rsidR="00912400" w:rsidRPr="005D65E6" w14:paraId="063B39DE" w14:textId="77777777" w:rsidTr="00912400">
        <w:trPr>
          <w:trHeight w:val="794"/>
          <w:jc w:val="center"/>
        </w:trPr>
        <w:tc>
          <w:tcPr>
            <w:tcW w:w="15309" w:type="dxa"/>
            <w:gridSpan w:val="4"/>
            <w:vAlign w:val="center"/>
          </w:tcPr>
          <w:p w14:paraId="6DAC4E0D" w14:textId="6FADE58D" w:rsidR="00912400" w:rsidRPr="005D65E6" w:rsidRDefault="00912400" w:rsidP="00473295">
            <w:pPr>
              <w:rPr>
                <w:b/>
                <w:sz w:val="32"/>
              </w:rPr>
            </w:pPr>
            <w:r w:rsidRPr="005D65E6">
              <w:rPr>
                <w:b/>
                <w:sz w:val="32"/>
              </w:rPr>
              <w:t xml:space="preserve">SERVICE: </w:t>
            </w:r>
            <w:r w:rsidR="00473295">
              <w:rPr>
                <w:b/>
                <w:sz w:val="32"/>
              </w:rPr>
              <w:t>DEVELOPMENT AND ECONOMIC GROWTH</w:t>
            </w:r>
          </w:p>
        </w:tc>
      </w:tr>
      <w:tr w:rsidR="00D21502" w:rsidRPr="00824C57" w14:paraId="73C763AC" w14:textId="77777777" w:rsidTr="004A7A1D">
        <w:trPr>
          <w:trHeight w:val="567"/>
          <w:jc w:val="center"/>
        </w:trPr>
        <w:tc>
          <w:tcPr>
            <w:tcW w:w="15309" w:type="dxa"/>
            <w:gridSpan w:val="4"/>
            <w:vAlign w:val="center"/>
          </w:tcPr>
          <w:p w14:paraId="2927B7EA" w14:textId="02C5CD8C" w:rsidR="00D21502" w:rsidRPr="00824C57" w:rsidRDefault="00D21502" w:rsidP="00E15EAC">
            <w:pPr>
              <w:pStyle w:val="Heading1"/>
              <w:spacing w:before="0"/>
              <w:outlineLvl w:val="0"/>
              <w:rPr>
                <w:b/>
                <w:color w:val="auto"/>
              </w:rPr>
            </w:pPr>
            <w:bookmarkStart w:id="47" w:name="_Toc56757725"/>
            <w:r w:rsidRPr="00824C57">
              <w:rPr>
                <w:b/>
                <w:color w:val="auto"/>
              </w:rPr>
              <w:t>INDICATOR REF: ECON5 - No of business gateway start-ups per 10,000 population</w:t>
            </w:r>
            <w:bookmarkEnd w:id="47"/>
            <w:r w:rsidR="00CA7DF1" w:rsidRPr="00824C57">
              <w:rPr>
                <w:b/>
                <w:color w:val="auto"/>
              </w:rPr>
              <w:tab/>
            </w:r>
          </w:p>
        </w:tc>
      </w:tr>
      <w:tr w:rsidR="00E06E41" w:rsidRPr="00D21502" w14:paraId="2F81BA80" w14:textId="77777777" w:rsidTr="004A7A1D">
        <w:trPr>
          <w:trHeight w:val="454"/>
          <w:jc w:val="center"/>
        </w:trPr>
        <w:tc>
          <w:tcPr>
            <w:tcW w:w="15309" w:type="dxa"/>
            <w:gridSpan w:val="4"/>
            <w:vAlign w:val="center"/>
          </w:tcPr>
          <w:p w14:paraId="4347AB41" w14:textId="6022EF8C" w:rsidR="00E06E41" w:rsidRPr="009A2A7A" w:rsidRDefault="00E06E41" w:rsidP="00DA7059">
            <w:pPr>
              <w:jc w:val="center"/>
              <w:rPr>
                <w:b/>
                <w:color w:val="0070C0"/>
                <w:sz w:val="28"/>
                <w:szCs w:val="28"/>
              </w:rPr>
            </w:pPr>
            <w:r w:rsidRPr="00C577BD">
              <w:rPr>
                <w:b/>
                <w:color w:val="0070C0"/>
                <w:sz w:val="28"/>
                <w:szCs w:val="28"/>
              </w:rPr>
              <w:t>Performance Range:</w:t>
            </w:r>
            <w:r w:rsidR="009A2A7A" w:rsidRPr="004C7782">
              <w:rPr>
                <w:b/>
                <w:color w:val="0070C0"/>
                <w:sz w:val="28"/>
                <w:szCs w:val="28"/>
              </w:rPr>
              <w:t xml:space="preserve"> </w:t>
            </w:r>
            <w:r w:rsidR="00DA7059">
              <w:rPr>
                <w:b/>
                <w:color w:val="0070C0"/>
                <w:sz w:val="28"/>
                <w:szCs w:val="28"/>
              </w:rPr>
              <w:t xml:space="preserve">6.05 </w:t>
            </w:r>
            <w:r w:rsidR="009A2A7A">
              <w:rPr>
                <w:b/>
                <w:color w:val="0070C0"/>
                <w:sz w:val="28"/>
                <w:szCs w:val="28"/>
              </w:rPr>
              <w:t xml:space="preserve">to </w:t>
            </w:r>
            <w:r w:rsidR="00DA7059">
              <w:rPr>
                <w:b/>
                <w:color w:val="0070C0"/>
                <w:sz w:val="28"/>
                <w:szCs w:val="28"/>
              </w:rPr>
              <w:t xml:space="preserve">26.84 </w:t>
            </w:r>
            <w:r w:rsidR="005E2139" w:rsidRPr="005E2139">
              <w:rPr>
                <w:b/>
                <w:color w:val="0070C0"/>
                <w:sz w:val="28"/>
                <w:szCs w:val="28"/>
              </w:rPr>
              <w:t>(Highest is best)</w:t>
            </w:r>
          </w:p>
        </w:tc>
      </w:tr>
      <w:tr w:rsidR="00D21502" w:rsidRPr="00D21502" w14:paraId="1DF556D1" w14:textId="77777777" w:rsidTr="00E83409">
        <w:trPr>
          <w:trHeight w:val="397"/>
          <w:jc w:val="center"/>
        </w:trPr>
        <w:tc>
          <w:tcPr>
            <w:tcW w:w="7508" w:type="dxa"/>
            <w:gridSpan w:val="2"/>
            <w:shd w:val="clear" w:color="auto" w:fill="D9E2F3" w:themeFill="accent5" w:themeFillTint="33"/>
            <w:vAlign w:val="center"/>
          </w:tcPr>
          <w:p w14:paraId="1EDC8AD5" w14:textId="77777777" w:rsidR="00D21502" w:rsidRPr="00D21502" w:rsidRDefault="00D21502" w:rsidP="009A329B">
            <w:pPr>
              <w:jc w:val="center"/>
              <w:rPr>
                <w:b/>
                <w:sz w:val="28"/>
                <w:szCs w:val="28"/>
              </w:rPr>
            </w:pPr>
            <w:r w:rsidRPr="00D21502">
              <w:rPr>
                <w:b/>
                <w:sz w:val="28"/>
                <w:szCs w:val="28"/>
              </w:rPr>
              <w:t>ARGYLL AND BUTE</w:t>
            </w:r>
          </w:p>
        </w:tc>
        <w:tc>
          <w:tcPr>
            <w:tcW w:w="7801" w:type="dxa"/>
            <w:gridSpan w:val="2"/>
            <w:shd w:val="clear" w:color="auto" w:fill="D9E2F3" w:themeFill="accent5" w:themeFillTint="33"/>
            <w:vAlign w:val="center"/>
          </w:tcPr>
          <w:p w14:paraId="0DC6C80D" w14:textId="77777777" w:rsidR="00D21502" w:rsidRPr="00D21502" w:rsidRDefault="00D21502" w:rsidP="009A329B">
            <w:pPr>
              <w:jc w:val="center"/>
              <w:rPr>
                <w:b/>
                <w:sz w:val="28"/>
                <w:szCs w:val="28"/>
              </w:rPr>
            </w:pPr>
            <w:r w:rsidRPr="00D21502">
              <w:rPr>
                <w:b/>
                <w:sz w:val="28"/>
                <w:szCs w:val="28"/>
              </w:rPr>
              <w:t>SCOTLAND</w:t>
            </w:r>
          </w:p>
        </w:tc>
      </w:tr>
      <w:tr w:rsidR="00D21502" w:rsidRPr="00D21502" w14:paraId="6460A1EA" w14:textId="77777777" w:rsidTr="004A7A1D">
        <w:trPr>
          <w:trHeight w:val="397"/>
          <w:jc w:val="center"/>
        </w:trPr>
        <w:tc>
          <w:tcPr>
            <w:tcW w:w="7508" w:type="dxa"/>
            <w:gridSpan w:val="2"/>
            <w:vAlign w:val="center"/>
          </w:tcPr>
          <w:p w14:paraId="68105D53" w14:textId="14375F47" w:rsidR="00D21502" w:rsidRPr="00DB4820" w:rsidRDefault="00DA7059" w:rsidP="009A329B">
            <w:pPr>
              <w:jc w:val="center"/>
              <w:rPr>
                <w:b/>
                <w:sz w:val="28"/>
                <w:szCs w:val="28"/>
              </w:rPr>
            </w:pPr>
            <w:r>
              <w:rPr>
                <w:b/>
                <w:sz w:val="28"/>
                <w:szCs w:val="28"/>
              </w:rPr>
              <w:t>13.45</w:t>
            </w:r>
          </w:p>
        </w:tc>
        <w:tc>
          <w:tcPr>
            <w:tcW w:w="7801" w:type="dxa"/>
            <w:gridSpan w:val="2"/>
            <w:vAlign w:val="center"/>
          </w:tcPr>
          <w:p w14:paraId="56D92B58" w14:textId="4C43D532" w:rsidR="00D21502" w:rsidRPr="00D21502" w:rsidRDefault="00DA7059" w:rsidP="009A329B">
            <w:pPr>
              <w:jc w:val="center"/>
              <w:rPr>
                <w:b/>
                <w:sz w:val="28"/>
                <w:szCs w:val="28"/>
              </w:rPr>
            </w:pPr>
            <w:r>
              <w:rPr>
                <w:b/>
                <w:sz w:val="28"/>
                <w:szCs w:val="28"/>
              </w:rPr>
              <w:t>16.7</w:t>
            </w:r>
          </w:p>
        </w:tc>
      </w:tr>
      <w:tr w:rsidR="004A7A1D" w:rsidRPr="00D21502" w14:paraId="0DC23554" w14:textId="77777777" w:rsidTr="004A7A1D">
        <w:trPr>
          <w:trHeight w:val="397"/>
          <w:jc w:val="center"/>
        </w:trPr>
        <w:tc>
          <w:tcPr>
            <w:tcW w:w="5949" w:type="dxa"/>
            <w:vAlign w:val="center"/>
          </w:tcPr>
          <w:p w14:paraId="6A306AC4" w14:textId="368C8388" w:rsidR="004A7A1D" w:rsidRPr="00DB4820" w:rsidRDefault="004A7A1D" w:rsidP="00F35DB7">
            <w:pPr>
              <w:jc w:val="center"/>
              <w:rPr>
                <w:b/>
                <w:sz w:val="28"/>
                <w:szCs w:val="28"/>
              </w:rPr>
            </w:pPr>
            <w:r w:rsidRPr="00721B18">
              <w:rPr>
                <w:b/>
                <w:sz w:val="28"/>
                <w:szCs w:val="28"/>
              </w:rPr>
              <w:t>CHANGE 201</w:t>
            </w:r>
            <w:r w:rsidR="00F35DB7">
              <w:rPr>
                <w:b/>
                <w:sz w:val="28"/>
                <w:szCs w:val="28"/>
              </w:rPr>
              <w:t>7</w:t>
            </w:r>
            <w:r w:rsidRPr="00721B18">
              <w:rPr>
                <w:b/>
                <w:sz w:val="28"/>
                <w:szCs w:val="28"/>
              </w:rPr>
              <w:t>/1</w:t>
            </w:r>
            <w:r w:rsidR="00F35DB7">
              <w:rPr>
                <w:b/>
                <w:sz w:val="28"/>
                <w:szCs w:val="28"/>
              </w:rPr>
              <w:t>8</w:t>
            </w:r>
            <w:r w:rsidRPr="00721B18">
              <w:rPr>
                <w:b/>
                <w:sz w:val="28"/>
                <w:szCs w:val="28"/>
              </w:rPr>
              <w:t xml:space="preserve"> TO </w:t>
            </w:r>
            <w:r>
              <w:rPr>
                <w:b/>
                <w:sz w:val="28"/>
                <w:szCs w:val="28"/>
              </w:rPr>
              <w:t>201</w:t>
            </w:r>
            <w:r w:rsidR="00F35DB7">
              <w:rPr>
                <w:b/>
                <w:sz w:val="28"/>
                <w:szCs w:val="28"/>
              </w:rPr>
              <w:t>8</w:t>
            </w:r>
            <w:r>
              <w:rPr>
                <w:b/>
                <w:sz w:val="28"/>
                <w:szCs w:val="28"/>
              </w:rPr>
              <w:t>/1</w:t>
            </w:r>
            <w:r w:rsidR="00F35DB7">
              <w:rPr>
                <w:b/>
                <w:sz w:val="28"/>
                <w:szCs w:val="28"/>
              </w:rPr>
              <w:t>9</w:t>
            </w:r>
          </w:p>
        </w:tc>
        <w:tc>
          <w:tcPr>
            <w:tcW w:w="1559" w:type="dxa"/>
            <w:vAlign w:val="center"/>
          </w:tcPr>
          <w:p w14:paraId="5E7CDC75" w14:textId="7E944366" w:rsidR="004A7A1D" w:rsidRPr="00DB4820" w:rsidRDefault="00DA7059" w:rsidP="009A329B">
            <w:pPr>
              <w:jc w:val="center"/>
              <w:rPr>
                <w:b/>
                <w:sz w:val="28"/>
                <w:szCs w:val="28"/>
              </w:rPr>
            </w:pPr>
            <w:r>
              <w:rPr>
                <w:b/>
                <w:sz w:val="28"/>
                <w:szCs w:val="28"/>
              </w:rPr>
              <w:t>8.09</w:t>
            </w:r>
            <w:r w:rsidR="00F35DB7">
              <w:rPr>
                <w:b/>
                <w:sz w:val="28"/>
                <w:szCs w:val="28"/>
              </w:rPr>
              <w:t>%</w:t>
            </w:r>
            <w:r w:rsidR="008E5FE9">
              <w:rPr>
                <w:b/>
                <w:sz w:val="28"/>
                <w:szCs w:val="28"/>
              </w:rPr>
              <w:t xml:space="preserve"> </w:t>
            </w:r>
            <w:r w:rsidR="008E5FE9" w:rsidRPr="00EC5E64">
              <w:rPr>
                <w:b/>
                <w:color w:val="00B050"/>
                <w:sz w:val="28"/>
                <w:szCs w:val="28"/>
              </w:rPr>
              <w:sym w:font="Wingdings" w:char="F0E9"/>
            </w:r>
          </w:p>
        </w:tc>
        <w:tc>
          <w:tcPr>
            <w:tcW w:w="6095" w:type="dxa"/>
            <w:vAlign w:val="center"/>
          </w:tcPr>
          <w:p w14:paraId="77226CFC" w14:textId="35615D99" w:rsidR="004A7A1D" w:rsidRDefault="004A7A1D" w:rsidP="00F35DB7">
            <w:pPr>
              <w:jc w:val="center"/>
              <w:rPr>
                <w:b/>
                <w:sz w:val="28"/>
                <w:szCs w:val="28"/>
              </w:rPr>
            </w:pPr>
            <w:r>
              <w:rPr>
                <w:sz w:val="28"/>
                <w:szCs w:val="28"/>
              </w:rPr>
              <w:t>CHANGE 201</w:t>
            </w:r>
            <w:r w:rsidR="00F35DB7">
              <w:rPr>
                <w:sz w:val="28"/>
                <w:szCs w:val="28"/>
              </w:rPr>
              <w:t>7</w:t>
            </w:r>
            <w:r>
              <w:rPr>
                <w:sz w:val="28"/>
                <w:szCs w:val="28"/>
              </w:rPr>
              <w:t>/1</w:t>
            </w:r>
            <w:r w:rsidR="00F35DB7">
              <w:rPr>
                <w:sz w:val="28"/>
                <w:szCs w:val="28"/>
              </w:rPr>
              <w:t>8</w:t>
            </w:r>
            <w:r>
              <w:rPr>
                <w:sz w:val="28"/>
                <w:szCs w:val="28"/>
              </w:rPr>
              <w:t xml:space="preserve"> TO 201</w:t>
            </w:r>
            <w:r w:rsidR="00F35DB7">
              <w:rPr>
                <w:sz w:val="28"/>
                <w:szCs w:val="28"/>
              </w:rPr>
              <w:t>8</w:t>
            </w:r>
            <w:r>
              <w:rPr>
                <w:sz w:val="28"/>
                <w:szCs w:val="28"/>
              </w:rPr>
              <w:t>/1</w:t>
            </w:r>
            <w:r w:rsidR="00F35DB7">
              <w:rPr>
                <w:sz w:val="28"/>
                <w:szCs w:val="28"/>
              </w:rPr>
              <w:t>9</w:t>
            </w:r>
          </w:p>
        </w:tc>
        <w:tc>
          <w:tcPr>
            <w:tcW w:w="1706" w:type="dxa"/>
            <w:vAlign w:val="center"/>
          </w:tcPr>
          <w:p w14:paraId="7EBC02BE" w14:textId="631D23E0" w:rsidR="004A7A1D" w:rsidRDefault="008E5FE9" w:rsidP="009A329B">
            <w:pPr>
              <w:jc w:val="center"/>
              <w:rPr>
                <w:b/>
                <w:sz w:val="28"/>
                <w:szCs w:val="28"/>
              </w:rPr>
            </w:pPr>
            <w:r>
              <w:rPr>
                <w:sz w:val="28"/>
                <w:szCs w:val="28"/>
              </w:rPr>
              <w:t>-0.75</w:t>
            </w:r>
            <w:r w:rsidR="00F35DB7">
              <w:rPr>
                <w:sz w:val="28"/>
                <w:szCs w:val="28"/>
              </w:rPr>
              <w:t>%</w:t>
            </w:r>
            <w:r>
              <w:rPr>
                <w:sz w:val="28"/>
                <w:szCs w:val="28"/>
              </w:rPr>
              <w:t xml:space="preserve"> </w:t>
            </w:r>
            <w:r w:rsidRPr="00C14931">
              <w:rPr>
                <w:b/>
                <w:color w:val="FF0000"/>
                <w:sz w:val="28"/>
                <w:szCs w:val="28"/>
              </w:rPr>
              <w:sym w:font="Wingdings" w:char="F0EA"/>
            </w:r>
          </w:p>
        </w:tc>
      </w:tr>
      <w:tr w:rsidR="004A7A1D" w:rsidRPr="00D21502" w14:paraId="118FD61B" w14:textId="77777777" w:rsidTr="004A7A1D">
        <w:trPr>
          <w:trHeight w:val="397"/>
          <w:jc w:val="center"/>
        </w:trPr>
        <w:tc>
          <w:tcPr>
            <w:tcW w:w="5949" w:type="dxa"/>
            <w:vAlign w:val="center"/>
          </w:tcPr>
          <w:p w14:paraId="6E848632" w14:textId="4444117D" w:rsidR="004A7A1D" w:rsidRPr="00721B18" w:rsidRDefault="004A7A1D" w:rsidP="00F35DB7">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w:t>
            </w:r>
            <w:r w:rsidR="00F35DB7">
              <w:rPr>
                <w:b/>
                <w:sz w:val="28"/>
                <w:szCs w:val="28"/>
              </w:rPr>
              <w:t>8</w:t>
            </w:r>
            <w:r>
              <w:rPr>
                <w:b/>
                <w:sz w:val="28"/>
                <w:szCs w:val="28"/>
              </w:rPr>
              <w:t>/1</w:t>
            </w:r>
            <w:r w:rsidR="00F35DB7">
              <w:rPr>
                <w:b/>
                <w:sz w:val="28"/>
                <w:szCs w:val="28"/>
              </w:rPr>
              <w:t>9</w:t>
            </w:r>
          </w:p>
        </w:tc>
        <w:tc>
          <w:tcPr>
            <w:tcW w:w="1559" w:type="dxa"/>
            <w:vAlign w:val="center"/>
          </w:tcPr>
          <w:p w14:paraId="6D1D0C38" w14:textId="7BC25957" w:rsidR="004A7A1D" w:rsidRDefault="00DA7059" w:rsidP="009A329B">
            <w:pPr>
              <w:jc w:val="center"/>
              <w:rPr>
                <w:b/>
                <w:sz w:val="28"/>
                <w:szCs w:val="28"/>
              </w:rPr>
            </w:pPr>
            <w:r>
              <w:rPr>
                <w:b/>
                <w:sz w:val="28"/>
                <w:szCs w:val="28"/>
              </w:rPr>
              <w:t>17.23</w:t>
            </w:r>
            <w:r w:rsidR="00F35DB7">
              <w:rPr>
                <w:b/>
                <w:sz w:val="28"/>
                <w:szCs w:val="28"/>
              </w:rPr>
              <w:t>%</w:t>
            </w:r>
            <w:r w:rsidR="008E5FE9">
              <w:rPr>
                <w:b/>
                <w:sz w:val="28"/>
                <w:szCs w:val="28"/>
              </w:rPr>
              <w:t xml:space="preserve"> </w:t>
            </w:r>
            <w:r w:rsidR="008E5FE9" w:rsidRPr="00EC5E64">
              <w:rPr>
                <w:b/>
                <w:color w:val="00B050"/>
                <w:sz w:val="28"/>
                <w:szCs w:val="28"/>
              </w:rPr>
              <w:sym w:font="Wingdings" w:char="F0E9"/>
            </w:r>
          </w:p>
        </w:tc>
        <w:tc>
          <w:tcPr>
            <w:tcW w:w="6095" w:type="dxa"/>
            <w:tcBorders>
              <w:bottom w:val="single" w:sz="4" w:space="0" w:color="auto"/>
            </w:tcBorders>
            <w:vAlign w:val="center"/>
          </w:tcPr>
          <w:p w14:paraId="0E6ABB74" w14:textId="6BE30CE8" w:rsidR="004A7A1D" w:rsidRDefault="004A7A1D" w:rsidP="00F35DB7">
            <w:pPr>
              <w:jc w:val="center"/>
              <w:rPr>
                <w:sz w:val="28"/>
                <w:szCs w:val="28"/>
              </w:rPr>
            </w:pPr>
            <w:r>
              <w:rPr>
                <w:sz w:val="28"/>
                <w:szCs w:val="28"/>
              </w:rPr>
              <w:t xml:space="preserve">CHANGE </w:t>
            </w:r>
            <w:r w:rsidRPr="00903E39">
              <w:rPr>
                <w:sz w:val="28"/>
                <w:szCs w:val="28"/>
              </w:rPr>
              <w:t xml:space="preserve">BASE YEAR </w:t>
            </w:r>
            <w:r>
              <w:rPr>
                <w:sz w:val="28"/>
                <w:szCs w:val="28"/>
              </w:rPr>
              <w:t>TO 201</w:t>
            </w:r>
            <w:r w:rsidR="00F35DB7">
              <w:rPr>
                <w:sz w:val="28"/>
                <w:szCs w:val="28"/>
              </w:rPr>
              <w:t>8</w:t>
            </w:r>
            <w:r>
              <w:rPr>
                <w:sz w:val="28"/>
                <w:szCs w:val="28"/>
              </w:rPr>
              <w:t>/1</w:t>
            </w:r>
            <w:r w:rsidR="00F35DB7">
              <w:rPr>
                <w:sz w:val="28"/>
                <w:szCs w:val="28"/>
              </w:rPr>
              <w:t>9</w:t>
            </w:r>
          </w:p>
        </w:tc>
        <w:tc>
          <w:tcPr>
            <w:tcW w:w="1706" w:type="dxa"/>
            <w:tcBorders>
              <w:bottom w:val="single" w:sz="4" w:space="0" w:color="auto"/>
            </w:tcBorders>
            <w:vAlign w:val="center"/>
          </w:tcPr>
          <w:p w14:paraId="2FA61567" w14:textId="52434154" w:rsidR="004A7A1D" w:rsidRDefault="008E5FE9" w:rsidP="009A329B">
            <w:pPr>
              <w:jc w:val="center"/>
              <w:rPr>
                <w:sz w:val="28"/>
                <w:szCs w:val="28"/>
              </w:rPr>
            </w:pPr>
            <w:r>
              <w:rPr>
                <w:sz w:val="28"/>
                <w:szCs w:val="28"/>
              </w:rPr>
              <w:t>-12.23</w:t>
            </w:r>
            <w:r w:rsidR="00F35DB7">
              <w:rPr>
                <w:sz w:val="28"/>
                <w:szCs w:val="28"/>
              </w:rPr>
              <w:t>%</w:t>
            </w:r>
            <w:r>
              <w:rPr>
                <w:sz w:val="28"/>
                <w:szCs w:val="28"/>
              </w:rPr>
              <w:t xml:space="preserve"> </w:t>
            </w:r>
            <w:r w:rsidRPr="00C14931">
              <w:rPr>
                <w:b/>
                <w:color w:val="FF0000"/>
                <w:sz w:val="28"/>
                <w:szCs w:val="28"/>
              </w:rPr>
              <w:sym w:font="Wingdings" w:char="F0EA"/>
            </w:r>
          </w:p>
        </w:tc>
      </w:tr>
      <w:tr w:rsidR="004A7A1D" w:rsidRPr="00D21502" w14:paraId="52361858" w14:textId="77777777" w:rsidTr="00B318EA">
        <w:trPr>
          <w:trHeight w:val="397"/>
          <w:jc w:val="center"/>
        </w:trPr>
        <w:tc>
          <w:tcPr>
            <w:tcW w:w="7508" w:type="dxa"/>
            <w:gridSpan w:val="2"/>
            <w:tcBorders>
              <w:bottom w:val="single" w:sz="4" w:space="0" w:color="auto"/>
            </w:tcBorders>
            <w:vAlign w:val="center"/>
          </w:tcPr>
          <w:p w14:paraId="56157A70" w14:textId="78BD16F7" w:rsidR="004A7A1D" w:rsidRPr="00DB4820" w:rsidRDefault="004A7A1D" w:rsidP="00F35DB7">
            <w:pPr>
              <w:jc w:val="center"/>
              <w:rPr>
                <w:b/>
                <w:sz w:val="28"/>
                <w:szCs w:val="28"/>
              </w:rPr>
            </w:pPr>
            <w:r w:rsidRPr="00DB4820">
              <w:rPr>
                <w:b/>
                <w:sz w:val="28"/>
                <w:szCs w:val="28"/>
              </w:rPr>
              <w:t>RANK POSITION</w:t>
            </w:r>
            <w:r w:rsidRPr="002F1397">
              <w:rPr>
                <w:b/>
                <w:sz w:val="28"/>
                <w:szCs w:val="28"/>
              </w:rPr>
              <w:t>:</w:t>
            </w:r>
            <w:r w:rsidR="00513443" w:rsidRPr="002F1397">
              <w:rPr>
                <w:b/>
                <w:sz w:val="28"/>
                <w:szCs w:val="28"/>
              </w:rPr>
              <w:t xml:space="preserve"> </w:t>
            </w:r>
            <w:r w:rsidR="00DA7059" w:rsidRPr="002F1397">
              <w:rPr>
                <w:b/>
                <w:sz w:val="28"/>
                <w:szCs w:val="28"/>
              </w:rPr>
              <w:t>29</w:t>
            </w:r>
            <w:r w:rsidR="00513443" w:rsidRPr="002F1397">
              <w:rPr>
                <w:b/>
                <w:sz w:val="28"/>
                <w:szCs w:val="28"/>
              </w:rPr>
              <w:t xml:space="preserve">   </w:t>
            </w:r>
            <w:r w:rsidRPr="00DB4820">
              <w:rPr>
                <w:b/>
                <w:sz w:val="28"/>
                <w:szCs w:val="28"/>
              </w:rPr>
              <w:t xml:space="preserve">RANK MOVEMENT: </w:t>
            </w:r>
            <w:r w:rsidR="00DA7059">
              <w:rPr>
                <w:b/>
                <w:sz w:val="28"/>
                <w:szCs w:val="28"/>
              </w:rPr>
              <w:t>-1</w:t>
            </w:r>
            <w:r w:rsidR="008E5FE9">
              <w:rPr>
                <w:b/>
                <w:sz w:val="28"/>
                <w:szCs w:val="28"/>
              </w:rPr>
              <w:t xml:space="preserve"> </w:t>
            </w:r>
            <w:r w:rsidR="008E5FE9" w:rsidRPr="00C14931">
              <w:rPr>
                <w:b/>
                <w:color w:val="FF0000"/>
                <w:sz w:val="28"/>
                <w:szCs w:val="28"/>
              </w:rPr>
              <w:sym w:font="Wingdings" w:char="F0EA"/>
            </w:r>
          </w:p>
        </w:tc>
        <w:tc>
          <w:tcPr>
            <w:tcW w:w="7801" w:type="dxa"/>
            <w:gridSpan w:val="2"/>
            <w:tcBorders>
              <w:bottom w:val="nil"/>
            </w:tcBorders>
            <w:shd w:val="clear" w:color="auto" w:fill="D9D9D9" w:themeFill="background1" w:themeFillShade="D9"/>
            <w:vAlign w:val="center"/>
          </w:tcPr>
          <w:p w14:paraId="1106F01C" w14:textId="77777777" w:rsidR="004A7A1D" w:rsidRDefault="004A7A1D" w:rsidP="009A329B">
            <w:pPr>
              <w:jc w:val="center"/>
              <w:rPr>
                <w:sz w:val="28"/>
                <w:szCs w:val="28"/>
              </w:rPr>
            </w:pPr>
          </w:p>
        </w:tc>
      </w:tr>
      <w:tr w:rsidR="004A7A1D" w:rsidRPr="00D21502" w14:paraId="48B29F25" w14:textId="77777777" w:rsidTr="00B318EA">
        <w:trPr>
          <w:trHeight w:val="397"/>
          <w:jc w:val="center"/>
        </w:trPr>
        <w:tc>
          <w:tcPr>
            <w:tcW w:w="7508" w:type="dxa"/>
            <w:gridSpan w:val="2"/>
            <w:tcBorders>
              <w:bottom w:val="nil"/>
            </w:tcBorders>
            <w:shd w:val="clear" w:color="auto" w:fill="D9E2F3" w:themeFill="accent5" w:themeFillTint="33"/>
            <w:vAlign w:val="center"/>
          </w:tcPr>
          <w:p w14:paraId="0050CE53" w14:textId="7830E2AC" w:rsidR="004A7A1D" w:rsidRPr="00DB4820" w:rsidRDefault="004A7A1D" w:rsidP="00F35DB7">
            <w:pPr>
              <w:jc w:val="center"/>
              <w:rPr>
                <w:b/>
                <w:sz w:val="28"/>
                <w:szCs w:val="28"/>
              </w:rPr>
            </w:pPr>
            <w:r>
              <w:rPr>
                <w:b/>
                <w:sz w:val="28"/>
                <w:szCs w:val="28"/>
              </w:rPr>
              <w:t>FAMILY GROUP RANKING 201</w:t>
            </w:r>
            <w:r w:rsidR="00F35DB7">
              <w:rPr>
                <w:b/>
                <w:sz w:val="28"/>
                <w:szCs w:val="28"/>
              </w:rPr>
              <w:t>8</w:t>
            </w:r>
            <w:r>
              <w:rPr>
                <w:b/>
                <w:sz w:val="28"/>
                <w:szCs w:val="28"/>
              </w:rPr>
              <w:t>/1</w:t>
            </w:r>
            <w:r w:rsidR="00F35DB7">
              <w:rPr>
                <w:b/>
                <w:sz w:val="28"/>
                <w:szCs w:val="28"/>
              </w:rPr>
              <w:t>9</w:t>
            </w:r>
          </w:p>
        </w:tc>
        <w:tc>
          <w:tcPr>
            <w:tcW w:w="7801" w:type="dxa"/>
            <w:gridSpan w:val="2"/>
            <w:tcBorders>
              <w:top w:val="nil"/>
              <w:bottom w:val="nil"/>
            </w:tcBorders>
            <w:shd w:val="clear" w:color="auto" w:fill="D9D9D9" w:themeFill="background1" w:themeFillShade="D9"/>
            <w:vAlign w:val="center"/>
          </w:tcPr>
          <w:p w14:paraId="3707FE46" w14:textId="77777777" w:rsidR="004A7A1D" w:rsidRDefault="004A7A1D" w:rsidP="009A329B">
            <w:pPr>
              <w:jc w:val="center"/>
              <w:rPr>
                <w:sz w:val="28"/>
                <w:szCs w:val="28"/>
              </w:rPr>
            </w:pPr>
          </w:p>
        </w:tc>
      </w:tr>
      <w:tr w:rsidR="004A7A1D" w:rsidRPr="00D21502" w14:paraId="2FAA7607" w14:textId="77777777" w:rsidTr="00B318EA">
        <w:trPr>
          <w:trHeight w:val="397"/>
          <w:jc w:val="center"/>
        </w:trPr>
        <w:tc>
          <w:tcPr>
            <w:tcW w:w="7508" w:type="dxa"/>
            <w:gridSpan w:val="2"/>
            <w:tcBorders>
              <w:top w:val="nil"/>
            </w:tcBorders>
            <w:shd w:val="clear" w:color="auto" w:fill="D9E2F3" w:themeFill="accent5" w:themeFillTint="33"/>
            <w:vAlign w:val="center"/>
          </w:tcPr>
          <w:p w14:paraId="07901CE5" w14:textId="390079E2" w:rsidR="004A7A1D" w:rsidRPr="00DB4820" w:rsidRDefault="004A7A1D" w:rsidP="00F35DB7">
            <w:pPr>
              <w:jc w:val="center"/>
              <w:rPr>
                <w:b/>
                <w:sz w:val="28"/>
                <w:szCs w:val="28"/>
              </w:rPr>
            </w:pPr>
            <w:r>
              <w:rPr>
                <w:b/>
                <w:sz w:val="28"/>
                <w:szCs w:val="28"/>
              </w:rPr>
              <w:t>RANK POSITION:</w:t>
            </w:r>
            <w:r w:rsidR="00FD1CF1">
              <w:rPr>
                <w:b/>
                <w:sz w:val="28"/>
                <w:szCs w:val="28"/>
              </w:rPr>
              <w:t xml:space="preserve"> </w:t>
            </w:r>
            <w:r w:rsidR="00DA7059">
              <w:rPr>
                <w:b/>
                <w:sz w:val="28"/>
                <w:szCs w:val="28"/>
              </w:rPr>
              <w:t>7</w:t>
            </w:r>
            <w:r w:rsidR="00FD1CF1">
              <w:rPr>
                <w:b/>
                <w:sz w:val="28"/>
                <w:szCs w:val="28"/>
              </w:rPr>
              <w:t xml:space="preserve">   </w:t>
            </w:r>
            <w:r>
              <w:rPr>
                <w:b/>
                <w:sz w:val="28"/>
                <w:szCs w:val="28"/>
              </w:rPr>
              <w:t xml:space="preserve">RANK MOVEMENT: </w:t>
            </w:r>
            <w:r w:rsidR="00DA7059">
              <w:rPr>
                <w:b/>
                <w:sz w:val="28"/>
                <w:szCs w:val="28"/>
              </w:rPr>
              <w:t>-1</w:t>
            </w:r>
            <w:r w:rsidR="008E5FE9">
              <w:rPr>
                <w:b/>
                <w:sz w:val="28"/>
                <w:szCs w:val="28"/>
              </w:rPr>
              <w:t xml:space="preserve"> </w:t>
            </w:r>
            <w:r w:rsidR="008E5FE9" w:rsidRPr="00C14931">
              <w:rPr>
                <w:b/>
                <w:color w:val="FF0000"/>
                <w:sz w:val="28"/>
                <w:szCs w:val="28"/>
              </w:rPr>
              <w:sym w:font="Wingdings" w:char="F0EA"/>
            </w:r>
          </w:p>
        </w:tc>
        <w:tc>
          <w:tcPr>
            <w:tcW w:w="7801" w:type="dxa"/>
            <w:gridSpan w:val="2"/>
            <w:tcBorders>
              <w:top w:val="nil"/>
            </w:tcBorders>
            <w:shd w:val="clear" w:color="auto" w:fill="D9D9D9" w:themeFill="background1" w:themeFillShade="D9"/>
            <w:vAlign w:val="center"/>
          </w:tcPr>
          <w:p w14:paraId="3EB1377C" w14:textId="77777777" w:rsidR="004A7A1D" w:rsidRDefault="004A7A1D" w:rsidP="009A329B">
            <w:pPr>
              <w:jc w:val="center"/>
              <w:rPr>
                <w:sz w:val="28"/>
                <w:szCs w:val="28"/>
              </w:rPr>
            </w:pPr>
          </w:p>
        </w:tc>
      </w:tr>
      <w:tr w:rsidR="004A7A1D" w:rsidRPr="00D21502" w14:paraId="3865BF8F" w14:textId="77777777" w:rsidTr="004A7A1D">
        <w:trPr>
          <w:trHeight w:val="397"/>
          <w:jc w:val="center"/>
        </w:trPr>
        <w:tc>
          <w:tcPr>
            <w:tcW w:w="15309" w:type="dxa"/>
            <w:gridSpan w:val="4"/>
            <w:tcBorders>
              <w:top w:val="nil"/>
            </w:tcBorders>
            <w:shd w:val="clear" w:color="auto" w:fill="auto"/>
            <w:vAlign w:val="center"/>
          </w:tcPr>
          <w:p w14:paraId="397EA630" w14:textId="5A8E44D4" w:rsidR="004A7A1D" w:rsidRPr="004A7A1D" w:rsidRDefault="004A7A1D" w:rsidP="004A7A1D">
            <w:pPr>
              <w:rPr>
                <w:sz w:val="6"/>
                <w:szCs w:val="6"/>
              </w:rPr>
            </w:pPr>
          </w:p>
          <w:p w14:paraId="4ABA4964" w14:textId="77777777" w:rsidR="004A7A1D" w:rsidRPr="00D21502" w:rsidRDefault="004A7A1D" w:rsidP="00876CB3">
            <w:pPr>
              <w:spacing w:after="120"/>
              <w:rPr>
                <w:b/>
                <w:sz w:val="28"/>
                <w:szCs w:val="28"/>
              </w:rPr>
            </w:pPr>
            <w:r w:rsidRPr="00D21502">
              <w:rPr>
                <w:b/>
                <w:sz w:val="28"/>
                <w:szCs w:val="28"/>
              </w:rPr>
              <w:t>TELLING OUR STORY:</w:t>
            </w:r>
          </w:p>
          <w:p w14:paraId="6D6C32AE" w14:textId="77777777" w:rsidR="00DA7675" w:rsidRPr="00036039" w:rsidRDefault="00DA7675" w:rsidP="00876CB3">
            <w:pPr>
              <w:spacing w:after="120"/>
              <w:rPr>
                <w:rFonts w:cstheme="minorHAnsi"/>
                <w:sz w:val="24"/>
                <w:szCs w:val="24"/>
              </w:rPr>
            </w:pPr>
            <w:r w:rsidRPr="00036039">
              <w:rPr>
                <w:rFonts w:cstheme="minorHAnsi"/>
                <w:sz w:val="24"/>
                <w:szCs w:val="24"/>
              </w:rPr>
              <w:t>Argyll and Bute's performance improved for the second year running, although our ranking fell between 2017/18 and 2018/19.</w:t>
            </w:r>
          </w:p>
          <w:p w14:paraId="1EF35481" w14:textId="1279634D" w:rsidR="00DA7675" w:rsidRPr="00036039" w:rsidRDefault="00DA7675" w:rsidP="00876CB3">
            <w:pPr>
              <w:spacing w:after="120"/>
              <w:rPr>
                <w:rFonts w:cstheme="minorHAnsi"/>
                <w:sz w:val="24"/>
                <w:szCs w:val="24"/>
              </w:rPr>
            </w:pPr>
            <w:r w:rsidRPr="00036039">
              <w:rPr>
                <w:rFonts w:cstheme="minorHAnsi"/>
                <w:sz w:val="24"/>
                <w:szCs w:val="24"/>
              </w:rPr>
              <w:t>Improvement according to this indicator is driven by two factors: an increase in the number of business start-ups being supported (116 in 2018/19, an increase of 8 over the previous year's figure) and, perhaps perversely, a decrease in the area's population.</w:t>
            </w:r>
          </w:p>
          <w:p w14:paraId="1E5184F0" w14:textId="77777777" w:rsidR="00DA7675" w:rsidRPr="004A7A1D" w:rsidRDefault="00DA7675" w:rsidP="00F35DB7">
            <w:pPr>
              <w:rPr>
                <w:rFonts w:ascii="Arial" w:hAnsi="Arial" w:cs="Arial"/>
                <w:szCs w:val="28"/>
              </w:rPr>
            </w:pPr>
          </w:p>
        </w:tc>
      </w:tr>
      <w:tr w:rsidR="004A7A1D" w:rsidRPr="00D21502" w14:paraId="5CE04C2F" w14:textId="77777777" w:rsidTr="004A7A1D">
        <w:trPr>
          <w:trHeight w:val="397"/>
          <w:jc w:val="center"/>
        </w:trPr>
        <w:tc>
          <w:tcPr>
            <w:tcW w:w="15309" w:type="dxa"/>
            <w:gridSpan w:val="4"/>
            <w:tcBorders>
              <w:top w:val="nil"/>
            </w:tcBorders>
            <w:shd w:val="clear" w:color="auto" w:fill="auto"/>
            <w:vAlign w:val="center"/>
          </w:tcPr>
          <w:p w14:paraId="327298A8" w14:textId="77777777" w:rsidR="004A7A1D" w:rsidRPr="004A7A1D" w:rsidRDefault="004A7A1D" w:rsidP="004A7A1D">
            <w:pPr>
              <w:rPr>
                <w:sz w:val="6"/>
                <w:szCs w:val="6"/>
              </w:rPr>
            </w:pPr>
          </w:p>
          <w:p w14:paraId="71573859" w14:textId="77777777" w:rsidR="004A7A1D" w:rsidRDefault="004A7A1D" w:rsidP="00876CB3">
            <w:pPr>
              <w:spacing w:after="120"/>
              <w:rPr>
                <w:b/>
                <w:sz w:val="28"/>
                <w:szCs w:val="28"/>
              </w:rPr>
            </w:pPr>
            <w:r>
              <w:rPr>
                <w:b/>
                <w:sz w:val="28"/>
                <w:szCs w:val="28"/>
              </w:rPr>
              <w:t>LOOKING FORWARD - EXPECTED IMPACT ON INDICATOR</w:t>
            </w:r>
          </w:p>
          <w:p w14:paraId="661BF10D" w14:textId="77777777" w:rsidR="00F03B6F" w:rsidRPr="006805F1" w:rsidRDefault="00F03B6F" w:rsidP="00876CB3">
            <w:pPr>
              <w:spacing w:after="120"/>
              <w:rPr>
                <w:rFonts w:cstheme="minorHAnsi"/>
                <w:sz w:val="24"/>
                <w:szCs w:val="24"/>
              </w:rPr>
            </w:pPr>
            <w:r w:rsidRPr="006805F1">
              <w:rPr>
                <w:rFonts w:cstheme="minorHAnsi"/>
                <w:sz w:val="24"/>
                <w:szCs w:val="24"/>
              </w:rPr>
              <w:t>The number of business start-ups continues to remain on target based on quarterly and year-end targets. This is the result of strong impartial advice and support offered by the council’s Business Gateway Advisers (3.2 FTEs) covering the whole dispersed geography of Argyll and Bute.</w:t>
            </w:r>
          </w:p>
          <w:p w14:paraId="0632908E" w14:textId="2ACD0087" w:rsidR="004A7A1D" w:rsidRPr="004A7A1D" w:rsidRDefault="00F03B6F" w:rsidP="00876CB3">
            <w:pPr>
              <w:spacing w:after="120"/>
              <w:rPr>
                <w:rFonts w:ascii="Arial" w:hAnsi="Arial" w:cs="Arial"/>
                <w:szCs w:val="28"/>
              </w:rPr>
            </w:pPr>
            <w:r w:rsidRPr="006805F1">
              <w:rPr>
                <w:rFonts w:cstheme="minorHAnsi"/>
                <w:sz w:val="24"/>
                <w:szCs w:val="24"/>
              </w:rPr>
              <w:t xml:space="preserve">In 2019/20 business start-up achieved were 110% of the annual target and for 2020/21, despite the exceptional circumstances, 57 start-ups had been supported by the end of Q2 against an annual target of </w:t>
            </w:r>
            <w:proofErr w:type="gramStart"/>
            <w:r w:rsidRPr="006805F1">
              <w:rPr>
                <w:rFonts w:cstheme="minorHAnsi"/>
                <w:sz w:val="24"/>
                <w:szCs w:val="24"/>
              </w:rPr>
              <w:t>100.</w:t>
            </w:r>
            <w:proofErr w:type="gramEnd"/>
          </w:p>
        </w:tc>
      </w:tr>
    </w:tbl>
    <w:p w14:paraId="322B95E8" w14:textId="5516E89B" w:rsidR="00F0794F" w:rsidRDefault="00F0794F"/>
    <w:tbl>
      <w:tblPr>
        <w:tblStyle w:val="TableGrid4"/>
        <w:tblW w:w="15309" w:type="dxa"/>
        <w:jc w:val="center"/>
        <w:tblLook w:val="04A0" w:firstRow="1" w:lastRow="0" w:firstColumn="1" w:lastColumn="0" w:noHBand="0" w:noVBand="1"/>
      </w:tblPr>
      <w:tblGrid>
        <w:gridCol w:w="5949"/>
        <w:gridCol w:w="1559"/>
        <w:gridCol w:w="6095"/>
        <w:gridCol w:w="1706"/>
      </w:tblGrid>
      <w:tr w:rsidR="00912400" w:rsidRPr="005D65E6" w14:paraId="7888B50D" w14:textId="77777777" w:rsidTr="00912400">
        <w:trPr>
          <w:trHeight w:val="794"/>
          <w:jc w:val="center"/>
        </w:trPr>
        <w:tc>
          <w:tcPr>
            <w:tcW w:w="15309" w:type="dxa"/>
            <w:gridSpan w:val="4"/>
            <w:vAlign w:val="center"/>
          </w:tcPr>
          <w:p w14:paraId="0CB43602" w14:textId="33C7E1A2" w:rsidR="00912400" w:rsidRPr="005D65E6" w:rsidRDefault="00912400" w:rsidP="00473295">
            <w:pPr>
              <w:rPr>
                <w:b/>
                <w:sz w:val="32"/>
              </w:rPr>
            </w:pPr>
            <w:r w:rsidRPr="005D65E6">
              <w:rPr>
                <w:b/>
                <w:sz w:val="32"/>
              </w:rPr>
              <w:t xml:space="preserve">SERVICE: </w:t>
            </w:r>
            <w:r w:rsidR="00473295">
              <w:rPr>
                <w:b/>
                <w:sz w:val="32"/>
              </w:rPr>
              <w:t>DEVELOPMENT AND ECONOMIC GROWTH</w:t>
            </w:r>
          </w:p>
        </w:tc>
      </w:tr>
      <w:tr w:rsidR="00F3319B" w:rsidRPr="00824C57" w14:paraId="4495506E" w14:textId="77777777" w:rsidTr="00CC5C8B">
        <w:trPr>
          <w:trHeight w:val="567"/>
          <w:jc w:val="center"/>
        </w:trPr>
        <w:tc>
          <w:tcPr>
            <w:tcW w:w="15309" w:type="dxa"/>
            <w:gridSpan w:val="4"/>
            <w:vAlign w:val="center"/>
          </w:tcPr>
          <w:p w14:paraId="2F96BB1F" w14:textId="2CE92697" w:rsidR="00F3319B" w:rsidRPr="00824C57" w:rsidRDefault="0069713C" w:rsidP="00E15EAC">
            <w:pPr>
              <w:pStyle w:val="Heading1"/>
              <w:spacing w:before="0"/>
              <w:outlineLvl w:val="0"/>
              <w:rPr>
                <w:b/>
                <w:color w:val="auto"/>
              </w:rPr>
            </w:pPr>
            <w:bookmarkStart w:id="48" w:name="_Toc56757726"/>
            <w:r>
              <w:rPr>
                <w:b/>
                <w:color w:val="auto"/>
              </w:rPr>
              <w:t>INDICATOR REF: ECON7 -</w:t>
            </w:r>
            <w:r w:rsidR="00F3319B" w:rsidRPr="00824C57">
              <w:rPr>
                <w:b/>
                <w:color w:val="auto"/>
              </w:rPr>
              <w:t xml:space="preserve"> Proportion of people earning less than the living wage</w:t>
            </w:r>
            <w:bookmarkEnd w:id="48"/>
            <w:r w:rsidR="00CA7DF1" w:rsidRPr="00824C57">
              <w:rPr>
                <w:b/>
                <w:color w:val="auto"/>
              </w:rPr>
              <w:t xml:space="preserve"> </w:t>
            </w:r>
          </w:p>
        </w:tc>
      </w:tr>
      <w:tr w:rsidR="00E06E41" w:rsidRPr="00D21502" w14:paraId="13EB6497" w14:textId="77777777" w:rsidTr="00CC5C8B">
        <w:trPr>
          <w:trHeight w:val="454"/>
          <w:jc w:val="center"/>
        </w:trPr>
        <w:tc>
          <w:tcPr>
            <w:tcW w:w="15309" w:type="dxa"/>
            <w:gridSpan w:val="4"/>
            <w:vAlign w:val="center"/>
          </w:tcPr>
          <w:p w14:paraId="2F3B6055" w14:textId="2A4D836C" w:rsidR="00E06E41" w:rsidRPr="009A2A7A" w:rsidRDefault="00E06E41" w:rsidP="00F35DB7">
            <w:pPr>
              <w:jc w:val="center"/>
              <w:rPr>
                <w:b/>
                <w:color w:val="0070C0"/>
                <w:sz w:val="28"/>
                <w:szCs w:val="28"/>
              </w:rPr>
            </w:pPr>
            <w:r w:rsidRPr="00C577BD">
              <w:rPr>
                <w:b/>
                <w:color w:val="0070C0"/>
                <w:sz w:val="28"/>
                <w:szCs w:val="28"/>
              </w:rPr>
              <w:t>Performance Range:</w:t>
            </w:r>
            <w:r w:rsidR="009A2A7A" w:rsidRPr="004C7782">
              <w:rPr>
                <w:b/>
                <w:color w:val="0070C0"/>
                <w:sz w:val="28"/>
                <w:szCs w:val="28"/>
              </w:rPr>
              <w:t xml:space="preserve"> </w:t>
            </w:r>
            <w:r w:rsidR="00DA7059">
              <w:rPr>
                <w:b/>
                <w:color w:val="0070C0"/>
                <w:sz w:val="28"/>
                <w:szCs w:val="28"/>
              </w:rPr>
              <w:t>14.2</w:t>
            </w:r>
            <w:r w:rsidR="00E17312">
              <w:rPr>
                <w:b/>
                <w:color w:val="0070C0"/>
                <w:sz w:val="28"/>
                <w:szCs w:val="28"/>
              </w:rPr>
              <w:t xml:space="preserve">% to </w:t>
            </w:r>
            <w:r w:rsidR="00DA7059">
              <w:rPr>
                <w:b/>
                <w:color w:val="0070C0"/>
                <w:sz w:val="28"/>
                <w:szCs w:val="28"/>
              </w:rPr>
              <w:t>30.6</w:t>
            </w:r>
            <w:r w:rsidR="009A2A7A">
              <w:rPr>
                <w:b/>
                <w:color w:val="0070C0"/>
                <w:sz w:val="28"/>
                <w:szCs w:val="28"/>
              </w:rPr>
              <w:t xml:space="preserve">%  </w:t>
            </w:r>
            <w:r w:rsidR="00BE08CC" w:rsidRPr="00BE08CC">
              <w:rPr>
                <w:b/>
                <w:color w:val="0070C0"/>
                <w:sz w:val="28"/>
                <w:szCs w:val="28"/>
              </w:rPr>
              <w:t>(Lowest is best)</w:t>
            </w:r>
          </w:p>
        </w:tc>
      </w:tr>
      <w:tr w:rsidR="00F3319B" w:rsidRPr="00D21502" w14:paraId="0A0A7C21" w14:textId="77777777" w:rsidTr="00E83409">
        <w:trPr>
          <w:trHeight w:val="397"/>
          <w:jc w:val="center"/>
        </w:trPr>
        <w:tc>
          <w:tcPr>
            <w:tcW w:w="7508" w:type="dxa"/>
            <w:gridSpan w:val="2"/>
            <w:shd w:val="clear" w:color="auto" w:fill="D9E2F3" w:themeFill="accent5" w:themeFillTint="33"/>
            <w:vAlign w:val="center"/>
          </w:tcPr>
          <w:p w14:paraId="487EA1D0" w14:textId="77777777" w:rsidR="00F3319B" w:rsidRPr="00D21502" w:rsidRDefault="00F3319B" w:rsidP="009A329B">
            <w:pPr>
              <w:jc w:val="center"/>
              <w:rPr>
                <w:b/>
                <w:sz w:val="28"/>
                <w:szCs w:val="28"/>
              </w:rPr>
            </w:pPr>
            <w:r w:rsidRPr="00D21502">
              <w:rPr>
                <w:b/>
                <w:sz w:val="28"/>
                <w:szCs w:val="28"/>
              </w:rPr>
              <w:t>ARGYLL AND BUTE</w:t>
            </w:r>
          </w:p>
        </w:tc>
        <w:tc>
          <w:tcPr>
            <w:tcW w:w="7801" w:type="dxa"/>
            <w:gridSpan w:val="2"/>
            <w:shd w:val="clear" w:color="auto" w:fill="D9E2F3" w:themeFill="accent5" w:themeFillTint="33"/>
            <w:vAlign w:val="center"/>
          </w:tcPr>
          <w:p w14:paraId="3D1281CD" w14:textId="77777777" w:rsidR="00F3319B" w:rsidRPr="00D21502" w:rsidRDefault="00F3319B" w:rsidP="009A329B">
            <w:pPr>
              <w:jc w:val="center"/>
              <w:rPr>
                <w:b/>
                <w:sz w:val="28"/>
                <w:szCs w:val="28"/>
              </w:rPr>
            </w:pPr>
            <w:r w:rsidRPr="00D21502">
              <w:rPr>
                <w:b/>
                <w:sz w:val="28"/>
                <w:szCs w:val="28"/>
              </w:rPr>
              <w:t>SCOTLAND</w:t>
            </w:r>
          </w:p>
        </w:tc>
      </w:tr>
      <w:tr w:rsidR="00F3319B" w:rsidRPr="00D21502" w14:paraId="62417AD5" w14:textId="77777777" w:rsidTr="00CC5C8B">
        <w:trPr>
          <w:trHeight w:val="397"/>
          <w:jc w:val="center"/>
        </w:trPr>
        <w:tc>
          <w:tcPr>
            <w:tcW w:w="7508" w:type="dxa"/>
            <w:gridSpan w:val="2"/>
            <w:vAlign w:val="center"/>
          </w:tcPr>
          <w:p w14:paraId="4F48AB9E" w14:textId="7AB79A60" w:rsidR="00F3319B" w:rsidRPr="009249F4" w:rsidRDefault="00DA7059" w:rsidP="009A329B">
            <w:pPr>
              <w:jc w:val="center"/>
              <w:rPr>
                <w:b/>
                <w:sz w:val="28"/>
                <w:szCs w:val="28"/>
              </w:rPr>
            </w:pPr>
            <w:r>
              <w:rPr>
                <w:b/>
                <w:sz w:val="28"/>
                <w:szCs w:val="28"/>
              </w:rPr>
              <w:t>24.0</w:t>
            </w:r>
            <w:r w:rsidR="00F35DB7">
              <w:rPr>
                <w:b/>
                <w:sz w:val="28"/>
                <w:szCs w:val="28"/>
              </w:rPr>
              <w:t>%</w:t>
            </w:r>
          </w:p>
        </w:tc>
        <w:tc>
          <w:tcPr>
            <w:tcW w:w="7801" w:type="dxa"/>
            <w:gridSpan w:val="2"/>
            <w:vAlign w:val="center"/>
          </w:tcPr>
          <w:p w14:paraId="31ECBDFE" w14:textId="69564800" w:rsidR="00F3319B" w:rsidRPr="00D21502" w:rsidRDefault="00DA7059" w:rsidP="009A329B">
            <w:pPr>
              <w:jc w:val="center"/>
              <w:rPr>
                <w:b/>
                <w:sz w:val="28"/>
                <w:szCs w:val="28"/>
              </w:rPr>
            </w:pPr>
            <w:r>
              <w:rPr>
                <w:b/>
                <w:sz w:val="28"/>
                <w:szCs w:val="28"/>
              </w:rPr>
              <w:t>19.4</w:t>
            </w:r>
            <w:r w:rsidR="00F35DB7">
              <w:rPr>
                <w:b/>
                <w:sz w:val="28"/>
                <w:szCs w:val="28"/>
              </w:rPr>
              <w:t>%</w:t>
            </w:r>
          </w:p>
        </w:tc>
      </w:tr>
      <w:tr w:rsidR="00CC5C8B" w:rsidRPr="00D21502" w14:paraId="3563C53E" w14:textId="77777777" w:rsidTr="00CC5C8B">
        <w:trPr>
          <w:trHeight w:val="397"/>
          <w:jc w:val="center"/>
        </w:trPr>
        <w:tc>
          <w:tcPr>
            <w:tcW w:w="5949" w:type="dxa"/>
            <w:vAlign w:val="center"/>
          </w:tcPr>
          <w:p w14:paraId="05123B1D" w14:textId="16B33379" w:rsidR="00CC5C8B" w:rsidRPr="009249F4" w:rsidRDefault="00CC5C8B" w:rsidP="00F35DB7">
            <w:pPr>
              <w:jc w:val="center"/>
              <w:rPr>
                <w:b/>
                <w:sz w:val="28"/>
                <w:szCs w:val="28"/>
              </w:rPr>
            </w:pPr>
            <w:r w:rsidRPr="00721B18">
              <w:rPr>
                <w:b/>
                <w:sz w:val="28"/>
                <w:szCs w:val="28"/>
              </w:rPr>
              <w:t>CHANGE 201</w:t>
            </w:r>
            <w:r w:rsidR="00F35DB7">
              <w:rPr>
                <w:b/>
                <w:sz w:val="28"/>
                <w:szCs w:val="28"/>
              </w:rPr>
              <w:t>7</w:t>
            </w:r>
            <w:r w:rsidRPr="00721B18">
              <w:rPr>
                <w:b/>
                <w:sz w:val="28"/>
                <w:szCs w:val="28"/>
              </w:rPr>
              <w:t>/1</w:t>
            </w:r>
            <w:r w:rsidR="00F35DB7">
              <w:rPr>
                <w:b/>
                <w:sz w:val="28"/>
                <w:szCs w:val="28"/>
              </w:rPr>
              <w:t>8</w:t>
            </w:r>
            <w:r w:rsidRPr="00721B18">
              <w:rPr>
                <w:b/>
                <w:sz w:val="28"/>
                <w:szCs w:val="28"/>
              </w:rPr>
              <w:t xml:space="preserve"> TO </w:t>
            </w:r>
            <w:r>
              <w:rPr>
                <w:b/>
                <w:sz w:val="28"/>
                <w:szCs w:val="28"/>
              </w:rPr>
              <w:t>201</w:t>
            </w:r>
            <w:r w:rsidR="00F35DB7">
              <w:rPr>
                <w:b/>
                <w:sz w:val="28"/>
                <w:szCs w:val="28"/>
              </w:rPr>
              <w:t>8</w:t>
            </w:r>
            <w:r>
              <w:rPr>
                <w:b/>
                <w:sz w:val="28"/>
                <w:szCs w:val="28"/>
              </w:rPr>
              <w:t>/1</w:t>
            </w:r>
            <w:r w:rsidR="00F35DB7">
              <w:rPr>
                <w:b/>
                <w:sz w:val="28"/>
                <w:szCs w:val="28"/>
              </w:rPr>
              <w:t>9</w:t>
            </w:r>
          </w:p>
        </w:tc>
        <w:tc>
          <w:tcPr>
            <w:tcW w:w="1559" w:type="dxa"/>
            <w:vAlign w:val="center"/>
          </w:tcPr>
          <w:p w14:paraId="27727312" w14:textId="503DAB77" w:rsidR="00CC5C8B" w:rsidRPr="009249F4" w:rsidRDefault="00DA7059" w:rsidP="009A329B">
            <w:pPr>
              <w:jc w:val="center"/>
              <w:rPr>
                <w:b/>
                <w:sz w:val="28"/>
                <w:szCs w:val="28"/>
              </w:rPr>
            </w:pPr>
            <w:r>
              <w:rPr>
                <w:b/>
                <w:sz w:val="28"/>
                <w:szCs w:val="28"/>
              </w:rPr>
              <w:t>-0.2</w:t>
            </w:r>
            <w:r w:rsidR="008E5FE9">
              <w:rPr>
                <w:b/>
                <w:sz w:val="28"/>
                <w:szCs w:val="28"/>
              </w:rPr>
              <w:t xml:space="preserve"> </w:t>
            </w:r>
            <w:r w:rsidR="008E5FE9" w:rsidRPr="00EC5E64">
              <w:rPr>
                <w:b/>
                <w:color w:val="00B050"/>
                <w:sz w:val="28"/>
                <w:szCs w:val="28"/>
              </w:rPr>
              <w:sym w:font="Wingdings" w:char="F0EA"/>
            </w:r>
          </w:p>
        </w:tc>
        <w:tc>
          <w:tcPr>
            <w:tcW w:w="6095" w:type="dxa"/>
            <w:vAlign w:val="center"/>
          </w:tcPr>
          <w:p w14:paraId="6CB54178" w14:textId="721B994F" w:rsidR="00CC5C8B" w:rsidRDefault="00CC5C8B" w:rsidP="00F35DB7">
            <w:pPr>
              <w:jc w:val="center"/>
              <w:rPr>
                <w:b/>
                <w:sz w:val="28"/>
                <w:szCs w:val="28"/>
              </w:rPr>
            </w:pPr>
            <w:r>
              <w:rPr>
                <w:sz w:val="28"/>
                <w:szCs w:val="28"/>
              </w:rPr>
              <w:t>CHANGE 201</w:t>
            </w:r>
            <w:r w:rsidR="00F35DB7">
              <w:rPr>
                <w:sz w:val="28"/>
                <w:szCs w:val="28"/>
              </w:rPr>
              <w:t>7</w:t>
            </w:r>
            <w:r>
              <w:rPr>
                <w:sz w:val="28"/>
                <w:szCs w:val="28"/>
              </w:rPr>
              <w:t>/1</w:t>
            </w:r>
            <w:r w:rsidR="00F35DB7">
              <w:rPr>
                <w:sz w:val="28"/>
                <w:szCs w:val="28"/>
              </w:rPr>
              <w:t>8</w:t>
            </w:r>
            <w:r>
              <w:rPr>
                <w:sz w:val="28"/>
                <w:szCs w:val="28"/>
              </w:rPr>
              <w:t xml:space="preserve"> TO 201</w:t>
            </w:r>
            <w:r w:rsidR="00F35DB7">
              <w:rPr>
                <w:sz w:val="28"/>
                <w:szCs w:val="28"/>
              </w:rPr>
              <w:t>8</w:t>
            </w:r>
            <w:r>
              <w:rPr>
                <w:sz w:val="28"/>
                <w:szCs w:val="28"/>
              </w:rPr>
              <w:t>/1</w:t>
            </w:r>
            <w:r w:rsidR="00F35DB7">
              <w:rPr>
                <w:sz w:val="28"/>
                <w:szCs w:val="28"/>
              </w:rPr>
              <w:t>9</w:t>
            </w:r>
          </w:p>
        </w:tc>
        <w:tc>
          <w:tcPr>
            <w:tcW w:w="1706" w:type="dxa"/>
            <w:vAlign w:val="center"/>
          </w:tcPr>
          <w:p w14:paraId="009D80D3" w14:textId="269D6BC0" w:rsidR="00CC5C8B" w:rsidRDefault="008E5FE9" w:rsidP="009A329B">
            <w:pPr>
              <w:jc w:val="center"/>
              <w:rPr>
                <w:b/>
                <w:sz w:val="28"/>
                <w:szCs w:val="28"/>
              </w:rPr>
            </w:pPr>
            <w:r>
              <w:rPr>
                <w:sz w:val="28"/>
                <w:szCs w:val="28"/>
              </w:rPr>
              <w:t xml:space="preserve">1 </w:t>
            </w:r>
            <w:r w:rsidRPr="00C14931">
              <w:rPr>
                <w:b/>
                <w:color w:val="FF0000"/>
                <w:sz w:val="28"/>
                <w:szCs w:val="28"/>
              </w:rPr>
              <w:sym w:font="Wingdings" w:char="F0E9"/>
            </w:r>
            <w:r>
              <w:rPr>
                <w:b/>
                <w:color w:val="FF0000"/>
                <w:sz w:val="28"/>
                <w:szCs w:val="28"/>
              </w:rPr>
              <w:t xml:space="preserve"> </w:t>
            </w:r>
          </w:p>
        </w:tc>
      </w:tr>
      <w:tr w:rsidR="00CC5C8B" w:rsidRPr="00D21502" w14:paraId="206AB4AC" w14:textId="77777777" w:rsidTr="00CC5C8B">
        <w:trPr>
          <w:trHeight w:val="397"/>
          <w:jc w:val="center"/>
        </w:trPr>
        <w:tc>
          <w:tcPr>
            <w:tcW w:w="5949" w:type="dxa"/>
            <w:vAlign w:val="center"/>
          </w:tcPr>
          <w:p w14:paraId="4F92A3E8" w14:textId="3AE1B1AF" w:rsidR="00CC5C8B" w:rsidRPr="00721B18" w:rsidRDefault="00CC5C8B" w:rsidP="00F35DB7">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w:t>
            </w:r>
            <w:r w:rsidR="00F35DB7">
              <w:rPr>
                <w:b/>
                <w:sz w:val="28"/>
                <w:szCs w:val="28"/>
              </w:rPr>
              <w:t>8</w:t>
            </w:r>
            <w:r>
              <w:rPr>
                <w:b/>
                <w:sz w:val="28"/>
                <w:szCs w:val="28"/>
              </w:rPr>
              <w:t>/1</w:t>
            </w:r>
            <w:r w:rsidR="00F35DB7">
              <w:rPr>
                <w:b/>
                <w:sz w:val="28"/>
                <w:szCs w:val="28"/>
              </w:rPr>
              <w:t>9</w:t>
            </w:r>
          </w:p>
        </w:tc>
        <w:tc>
          <w:tcPr>
            <w:tcW w:w="1559" w:type="dxa"/>
            <w:vAlign w:val="center"/>
          </w:tcPr>
          <w:p w14:paraId="47A6CC0E" w14:textId="2D860CE0" w:rsidR="00CC5C8B" w:rsidRDefault="00DA7059" w:rsidP="009A329B">
            <w:pPr>
              <w:jc w:val="center"/>
              <w:rPr>
                <w:b/>
                <w:sz w:val="28"/>
                <w:szCs w:val="28"/>
              </w:rPr>
            </w:pPr>
            <w:r>
              <w:rPr>
                <w:b/>
                <w:sz w:val="28"/>
                <w:szCs w:val="28"/>
              </w:rPr>
              <w:t>3.7</w:t>
            </w:r>
            <w:r w:rsidR="008E5FE9">
              <w:rPr>
                <w:b/>
                <w:sz w:val="28"/>
                <w:szCs w:val="28"/>
              </w:rPr>
              <w:t xml:space="preserve"> </w:t>
            </w:r>
            <w:r w:rsidR="008E5FE9" w:rsidRPr="00C14931">
              <w:rPr>
                <w:b/>
                <w:color w:val="FF0000"/>
                <w:sz w:val="28"/>
                <w:szCs w:val="28"/>
              </w:rPr>
              <w:sym w:font="Wingdings" w:char="F0E9"/>
            </w:r>
          </w:p>
        </w:tc>
        <w:tc>
          <w:tcPr>
            <w:tcW w:w="6095" w:type="dxa"/>
            <w:tcBorders>
              <w:bottom w:val="single" w:sz="4" w:space="0" w:color="auto"/>
            </w:tcBorders>
            <w:vAlign w:val="center"/>
          </w:tcPr>
          <w:p w14:paraId="64EF0794" w14:textId="62B03773" w:rsidR="00CC5C8B" w:rsidRDefault="00CC5C8B" w:rsidP="00F35DB7">
            <w:pPr>
              <w:jc w:val="center"/>
              <w:rPr>
                <w:sz w:val="28"/>
                <w:szCs w:val="28"/>
              </w:rPr>
            </w:pPr>
            <w:r>
              <w:rPr>
                <w:sz w:val="28"/>
                <w:szCs w:val="28"/>
              </w:rPr>
              <w:t xml:space="preserve">CHANGE </w:t>
            </w:r>
            <w:r w:rsidRPr="00903E39">
              <w:rPr>
                <w:sz w:val="28"/>
                <w:szCs w:val="28"/>
              </w:rPr>
              <w:t xml:space="preserve">BASE YEAR </w:t>
            </w:r>
            <w:r>
              <w:rPr>
                <w:sz w:val="28"/>
                <w:szCs w:val="28"/>
              </w:rPr>
              <w:t>TO 201</w:t>
            </w:r>
            <w:r w:rsidR="00F35DB7">
              <w:rPr>
                <w:sz w:val="28"/>
                <w:szCs w:val="28"/>
              </w:rPr>
              <w:t>8</w:t>
            </w:r>
            <w:r>
              <w:rPr>
                <w:sz w:val="28"/>
                <w:szCs w:val="28"/>
              </w:rPr>
              <w:t>/1</w:t>
            </w:r>
            <w:r w:rsidR="00F35DB7">
              <w:rPr>
                <w:sz w:val="28"/>
                <w:szCs w:val="28"/>
              </w:rPr>
              <w:t>9</w:t>
            </w:r>
          </w:p>
        </w:tc>
        <w:tc>
          <w:tcPr>
            <w:tcW w:w="1706" w:type="dxa"/>
            <w:tcBorders>
              <w:bottom w:val="single" w:sz="4" w:space="0" w:color="auto"/>
            </w:tcBorders>
            <w:vAlign w:val="center"/>
          </w:tcPr>
          <w:p w14:paraId="4102B872" w14:textId="0094B0A9" w:rsidR="00CC5C8B" w:rsidRDefault="008E5FE9" w:rsidP="009A329B">
            <w:pPr>
              <w:jc w:val="center"/>
              <w:rPr>
                <w:sz w:val="28"/>
                <w:szCs w:val="28"/>
              </w:rPr>
            </w:pPr>
            <w:r>
              <w:rPr>
                <w:sz w:val="28"/>
                <w:szCs w:val="28"/>
              </w:rPr>
              <w:t xml:space="preserve">0.6 </w:t>
            </w:r>
            <w:r w:rsidRPr="00C14931">
              <w:rPr>
                <w:b/>
                <w:color w:val="FF0000"/>
                <w:sz w:val="28"/>
                <w:szCs w:val="28"/>
              </w:rPr>
              <w:sym w:font="Wingdings" w:char="F0E9"/>
            </w:r>
          </w:p>
        </w:tc>
      </w:tr>
      <w:tr w:rsidR="00CC5C8B" w:rsidRPr="00D21502" w14:paraId="78933595" w14:textId="77777777" w:rsidTr="00B318EA">
        <w:trPr>
          <w:trHeight w:val="397"/>
          <w:jc w:val="center"/>
        </w:trPr>
        <w:tc>
          <w:tcPr>
            <w:tcW w:w="7508" w:type="dxa"/>
            <w:gridSpan w:val="2"/>
            <w:tcBorders>
              <w:bottom w:val="single" w:sz="4" w:space="0" w:color="auto"/>
            </w:tcBorders>
            <w:vAlign w:val="center"/>
          </w:tcPr>
          <w:p w14:paraId="38A1FA5C" w14:textId="0B86E2B7" w:rsidR="00CC5C8B" w:rsidRPr="009249F4" w:rsidRDefault="00CC5C8B" w:rsidP="00F35DB7">
            <w:pPr>
              <w:jc w:val="center"/>
              <w:rPr>
                <w:b/>
                <w:sz w:val="28"/>
                <w:szCs w:val="28"/>
              </w:rPr>
            </w:pPr>
            <w:r w:rsidRPr="009249F4">
              <w:rPr>
                <w:b/>
                <w:sz w:val="28"/>
                <w:szCs w:val="28"/>
              </w:rPr>
              <w:t>RANK POSITION</w:t>
            </w:r>
            <w:r w:rsidRPr="008E5FE9">
              <w:rPr>
                <w:b/>
                <w:sz w:val="28"/>
                <w:szCs w:val="28"/>
              </w:rPr>
              <w:t>:</w:t>
            </w:r>
            <w:r w:rsidR="00513443" w:rsidRPr="008E5FE9">
              <w:rPr>
                <w:b/>
                <w:sz w:val="28"/>
                <w:szCs w:val="28"/>
              </w:rPr>
              <w:t xml:space="preserve">  </w:t>
            </w:r>
            <w:r w:rsidR="00DA7059" w:rsidRPr="008E5FE9">
              <w:rPr>
                <w:b/>
                <w:sz w:val="28"/>
                <w:szCs w:val="28"/>
              </w:rPr>
              <w:t>18</w:t>
            </w:r>
            <w:r w:rsidR="00513443" w:rsidRPr="008E5FE9">
              <w:rPr>
                <w:b/>
                <w:sz w:val="28"/>
                <w:szCs w:val="28"/>
              </w:rPr>
              <w:t xml:space="preserve">  </w:t>
            </w:r>
            <w:r w:rsidRPr="008E5FE9">
              <w:rPr>
                <w:b/>
                <w:sz w:val="28"/>
                <w:szCs w:val="28"/>
              </w:rPr>
              <w:t xml:space="preserve">RANK </w:t>
            </w:r>
            <w:r w:rsidRPr="009249F4">
              <w:rPr>
                <w:b/>
                <w:sz w:val="28"/>
                <w:szCs w:val="28"/>
              </w:rPr>
              <w:t>MOVEMENT</w:t>
            </w:r>
            <w:r w:rsidRPr="00764F8E">
              <w:rPr>
                <w:b/>
                <w:sz w:val="28"/>
                <w:szCs w:val="28"/>
              </w:rPr>
              <w:t xml:space="preserve">: </w:t>
            </w:r>
            <w:r w:rsidR="00DA7059">
              <w:rPr>
                <w:b/>
                <w:sz w:val="28"/>
                <w:szCs w:val="28"/>
              </w:rPr>
              <w:t>7</w:t>
            </w:r>
            <w:r w:rsidR="008E5FE9">
              <w:rPr>
                <w:b/>
                <w:sz w:val="28"/>
                <w:szCs w:val="28"/>
              </w:rPr>
              <w:t xml:space="preserve"> </w:t>
            </w:r>
            <w:r w:rsidR="008E5FE9" w:rsidRPr="00EC5E64">
              <w:rPr>
                <w:b/>
                <w:color w:val="00B050"/>
                <w:sz w:val="28"/>
                <w:szCs w:val="28"/>
              </w:rPr>
              <w:sym w:font="Wingdings" w:char="F0E9"/>
            </w:r>
          </w:p>
        </w:tc>
        <w:tc>
          <w:tcPr>
            <w:tcW w:w="7801" w:type="dxa"/>
            <w:gridSpan w:val="2"/>
            <w:tcBorders>
              <w:bottom w:val="nil"/>
            </w:tcBorders>
            <w:shd w:val="clear" w:color="auto" w:fill="D9D9D9" w:themeFill="background1" w:themeFillShade="D9"/>
            <w:vAlign w:val="center"/>
          </w:tcPr>
          <w:p w14:paraId="390E6706" w14:textId="77777777" w:rsidR="00CC5C8B" w:rsidRDefault="00CC5C8B" w:rsidP="009A329B">
            <w:pPr>
              <w:jc w:val="center"/>
              <w:rPr>
                <w:sz w:val="28"/>
                <w:szCs w:val="28"/>
              </w:rPr>
            </w:pPr>
          </w:p>
        </w:tc>
      </w:tr>
      <w:tr w:rsidR="00CC5C8B" w:rsidRPr="00D21502" w14:paraId="2CD30729" w14:textId="77777777" w:rsidTr="00B318EA">
        <w:trPr>
          <w:trHeight w:val="397"/>
          <w:jc w:val="center"/>
        </w:trPr>
        <w:tc>
          <w:tcPr>
            <w:tcW w:w="7508" w:type="dxa"/>
            <w:gridSpan w:val="2"/>
            <w:tcBorders>
              <w:bottom w:val="nil"/>
            </w:tcBorders>
            <w:shd w:val="clear" w:color="auto" w:fill="D9E2F3" w:themeFill="accent5" w:themeFillTint="33"/>
            <w:vAlign w:val="center"/>
          </w:tcPr>
          <w:p w14:paraId="427B7E41" w14:textId="1C952611" w:rsidR="00CC5C8B" w:rsidRPr="009249F4" w:rsidRDefault="00CC5C8B" w:rsidP="00F35DB7">
            <w:pPr>
              <w:jc w:val="center"/>
              <w:rPr>
                <w:b/>
                <w:sz w:val="28"/>
                <w:szCs w:val="28"/>
              </w:rPr>
            </w:pPr>
            <w:r>
              <w:rPr>
                <w:b/>
                <w:sz w:val="28"/>
                <w:szCs w:val="28"/>
              </w:rPr>
              <w:t>FAMILY GROUP RANKING 201</w:t>
            </w:r>
            <w:r w:rsidR="00F35DB7">
              <w:rPr>
                <w:b/>
                <w:sz w:val="28"/>
                <w:szCs w:val="28"/>
              </w:rPr>
              <w:t>8</w:t>
            </w:r>
            <w:r>
              <w:rPr>
                <w:b/>
                <w:sz w:val="28"/>
                <w:szCs w:val="28"/>
              </w:rPr>
              <w:t>/1</w:t>
            </w:r>
            <w:r w:rsidR="00F35DB7">
              <w:rPr>
                <w:b/>
                <w:sz w:val="28"/>
                <w:szCs w:val="28"/>
              </w:rPr>
              <w:t>9</w:t>
            </w:r>
          </w:p>
        </w:tc>
        <w:tc>
          <w:tcPr>
            <w:tcW w:w="7801" w:type="dxa"/>
            <w:gridSpan w:val="2"/>
            <w:tcBorders>
              <w:top w:val="nil"/>
              <w:bottom w:val="nil"/>
            </w:tcBorders>
            <w:shd w:val="clear" w:color="auto" w:fill="D9D9D9" w:themeFill="background1" w:themeFillShade="D9"/>
            <w:vAlign w:val="center"/>
          </w:tcPr>
          <w:p w14:paraId="16A75776" w14:textId="77777777" w:rsidR="00CC5C8B" w:rsidRDefault="00CC5C8B" w:rsidP="009A329B">
            <w:pPr>
              <w:jc w:val="center"/>
              <w:rPr>
                <w:sz w:val="28"/>
                <w:szCs w:val="28"/>
              </w:rPr>
            </w:pPr>
          </w:p>
        </w:tc>
      </w:tr>
      <w:tr w:rsidR="00CC5C8B" w:rsidRPr="00D21502" w14:paraId="2BCDF8E2" w14:textId="77777777" w:rsidTr="00B318EA">
        <w:trPr>
          <w:trHeight w:val="397"/>
          <w:jc w:val="center"/>
        </w:trPr>
        <w:tc>
          <w:tcPr>
            <w:tcW w:w="7508" w:type="dxa"/>
            <w:gridSpan w:val="2"/>
            <w:tcBorders>
              <w:top w:val="nil"/>
            </w:tcBorders>
            <w:shd w:val="clear" w:color="auto" w:fill="D9E2F3" w:themeFill="accent5" w:themeFillTint="33"/>
            <w:vAlign w:val="center"/>
          </w:tcPr>
          <w:p w14:paraId="36C679B3" w14:textId="2E3FB0BF" w:rsidR="00CC5C8B" w:rsidRPr="009249F4" w:rsidRDefault="00CC5C8B" w:rsidP="00F35DB7">
            <w:pPr>
              <w:jc w:val="center"/>
              <w:rPr>
                <w:b/>
                <w:sz w:val="28"/>
                <w:szCs w:val="28"/>
              </w:rPr>
            </w:pPr>
            <w:r>
              <w:rPr>
                <w:b/>
                <w:sz w:val="28"/>
                <w:szCs w:val="28"/>
              </w:rPr>
              <w:t>RANK POSITION:</w:t>
            </w:r>
            <w:r w:rsidR="00E11941">
              <w:rPr>
                <w:b/>
                <w:sz w:val="28"/>
                <w:szCs w:val="28"/>
              </w:rPr>
              <w:t xml:space="preserve"> </w:t>
            </w:r>
            <w:r w:rsidR="00DA7059">
              <w:rPr>
                <w:b/>
                <w:sz w:val="28"/>
                <w:szCs w:val="28"/>
              </w:rPr>
              <w:t>3</w:t>
            </w:r>
            <w:r w:rsidR="00E11941">
              <w:rPr>
                <w:b/>
                <w:sz w:val="28"/>
                <w:szCs w:val="28"/>
              </w:rPr>
              <w:t xml:space="preserve">   RANK MOVEMENT: </w:t>
            </w:r>
            <w:r w:rsidR="00DA7059">
              <w:rPr>
                <w:b/>
                <w:sz w:val="28"/>
                <w:szCs w:val="28"/>
              </w:rPr>
              <w:t>1</w:t>
            </w:r>
            <w:r w:rsidR="008E5FE9">
              <w:rPr>
                <w:b/>
                <w:sz w:val="28"/>
                <w:szCs w:val="28"/>
              </w:rPr>
              <w:t xml:space="preserve"> </w:t>
            </w:r>
            <w:r w:rsidR="008E5FE9" w:rsidRPr="00EC5E64">
              <w:rPr>
                <w:b/>
                <w:color w:val="00B050"/>
                <w:sz w:val="28"/>
                <w:szCs w:val="28"/>
              </w:rPr>
              <w:sym w:font="Wingdings" w:char="F0E9"/>
            </w:r>
          </w:p>
        </w:tc>
        <w:tc>
          <w:tcPr>
            <w:tcW w:w="7801" w:type="dxa"/>
            <w:gridSpan w:val="2"/>
            <w:tcBorders>
              <w:top w:val="nil"/>
            </w:tcBorders>
            <w:shd w:val="clear" w:color="auto" w:fill="D9D9D9" w:themeFill="background1" w:themeFillShade="D9"/>
            <w:vAlign w:val="center"/>
          </w:tcPr>
          <w:p w14:paraId="77379EA4" w14:textId="77777777" w:rsidR="00CC5C8B" w:rsidRDefault="00CC5C8B" w:rsidP="009A329B">
            <w:pPr>
              <w:jc w:val="center"/>
              <w:rPr>
                <w:sz w:val="28"/>
                <w:szCs w:val="28"/>
              </w:rPr>
            </w:pPr>
          </w:p>
        </w:tc>
      </w:tr>
      <w:tr w:rsidR="00CC5C8B" w:rsidRPr="00D21502" w14:paraId="789D4503" w14:textId="77777777" w:rsidTr="008C4954">
        <w:trPr>
          <w:trHeight w:val="397"/>
          <w:jc w:val="center"/>
        </w:trPr>
        <w:tc>
          <w:tcPr>
            <w:tcW w:w="15309" w:type="dxa"/>
            <w:gridSpan w:val="4"/>
            <w:vAlign w:val="center"/>
          </w:tcPr>
          <w:p w14:paraId="17D1C0F5" w14:textId="77777777" w:rsidR="00CC5C8B" w:rsidRPr="00CC5C8B" w:rsidRDefault="00CC5C8B" w:rsidP="00CC5C8B">
            <w:pPr>
              <w:rPr>
                <w:sz w:val="6"/>
                <w:szCs w:val="6"/>
              </w:rPr>
            </w:pPr>
          </w:p>
          <w:p w14:paraId="64E43C16" w14:textId="77777777" w:rsidR="00CC5C8B" w:rsidRPr="00D21502" w:rsidRDefault="00CC5C8B" w:rsidP="00876CB3">
            <w:pPr>
              <w:spacing w:after="120"/>
              <w:rPr>
                <w:b/>
                <w:sz w:val="28"/>
                <w:szCs w:val="28"/>
              </w:rPr>
            </w:pPr>
            <w:r w:rsidRPr="00D21502">
              <w:rPr>
                <w:b/>
                <w:sz w:val="28"/>
                <w:szCs w:val="28"/>
              </w:rPr>
              <w:t>TELLING OUR STORY:</w:t>
            </w:r>
          </w:p>
          <w:p w14:paraId="47AE172A" w14:textId="2A676236" w:rsidR="004604F7" w:rsidRPr="00036039" w:rsidRDefault="004604F7" w:rsidP="00876CB3">
            <w:pPr>
              <w:spacing w:after="120"/>
              <w:rPr>
                <w:rFonts w:cstheme="minorHAnsi"/>
                <w:sz w:val="24"/>
                <w:szCs w:val="24"/>
              </w:rPr>
            </w:pPr>
            <w:r w:rsidRPr="00036039">
              <w:rPr>
                <w:rFonts w:cstheme="minorHAnsi"/>
                <w:sz w:val="24"/>
                <w:szCs w:val="24"/>
              </w:rPr>
              <w:t>Argyll and Bute shows a slight improvement compared to the previous year for this measure.</w:t>
            </w:r>
          </w:p>
          <w:p w14:paraId="6450A41E" w14:textId="5197CD5C" w:rsidR="004604F7" w:rsidRPr="00036039" w:rsidRDefault="004604F7" w:rsidP="00876CB3">
            <w:pPr>
              <w:spacing w:after="120"/>
              <w:rPr>
                <w:rFonts w:cstheme="minorHAnsi"/>
                <w:sz w:val="24"/>
                <w:szCs w:val="24"/>
              </w:rPr>
            </w:pPr>
            <w:r w:rsidRPr="00036039">
              <w:rPr>
                <w:rFonts w:cstheme="minorHAnsi"/>
                <w:sz w:val="24"/>
                <w:szCs w:val="24"/>
              </w:rPr>
              <w:t>Between 2017/18 and 2018/19, only seven local authorities saw a decrease in the proportion of people earning less that the living wage.</w:t>
            </w:r>
          </w:p>
          <w:p w14:paraId="46BB9F11" w14:textId="07BF084E" w:rsidR="004604F7" w:rsidRPr="00036039" w:rsidRDefault="004604F7" w:rsidP="00876CB3">
            <w:pPr>
              <w:spacing w:after="120"/>
              <w:rPr>
                <w:rFonts w:cstheme="minorHAnsi"/>
                <w:sz w:val="24"/>
                <w:szCs w:val="24"/>
              </w:rPr>
            </w:pPr>
            <w:r w:rsidRPr="00036039">
              <w:rPr>
                <w:rFonts w:cstheme="minorHAnsi"/>
                <w:sz w:val="24"/>
                <w:szCs w:val="24"/>
              </w:rPr>
              <w:t>Our improved ranking within Scotland is more a reflection of worsening performance in other areas than marked improvement in ours.</w:t>
            </w:r>
          </w:p>
          <w:p w14:paraId="2A5F2DF3" w14:textId="46AE5002" w:rsidR="004604F7" w:rsidRPr="00036039" w:rsidRDefault="004604F7" w:rsidP="00876CB3">
            <w:pPr>
              <w:spacing w:after="120"/>
              <w:rPr>
                <w:rFonts w:cstheme="minorHAnsi"/>
                <w:sz w:val="24"/>
                <w:szCs w:val="24"/>
              </w:rPr>
            </w:pPr>
            <w:r w:rsidRPr="00036039">
              <w:rPr>
                <w:rFonts w:cstheme="minorHAnsi"/>
                <w:sz w:val="24"/>
                <w:szCs w:val="24"/>
              </w:rPr>
              <w:t>Indicator data is not available for the three island authorities, so the rank is out of 29 Scottish councils' performance and out of 5 for our family group.</w:t>
            </w:r>
          </w:p>
          <w:p w14:paraId="544510AB" w14:textId="77777777" w:rsidR="00DA7675" w:rsidRPr="00CC5C8B" w:rsidRDefault="00DA7675" w:rsidP="00F35DB7">
            <w:pPr>
              <w:rPr>
                <w:rFonts w:ascii="Arial" w:hAnsi="Arial" w:cs="Arial"/>
                <w:szCs w:val="28"/>
              </w:rPr>
            </w:pPr>
          </w:p>
        </w:tc>
      </w:tr>
      <w:tr w:rsidR="00CC5C8B" w:rsidRPr="00D21502" w14:paraId="1A20D5ED" w14:textId="77777777" w:rsidTr="008C4954">
        <w:trPr>
          <w:trHeight w:val="397"/>
          <w:jc w:val="center"/>
        </w:trPr>
        <w:tc>
          <w:tcPr>
            <w:tcW w:w="15309" w:type="dxa"/>
            <w:gridSpan w:val="4"/>
            <w:vAlign w:val="center"/>
          </w:tcPr>
          <w:p w14:paraId="446D7C93" w14:textId="77777777" w:rsidR="00CC5C8B" w:rsidRPr="00CC5C8B" w:rsidRDefault="00CC5C8B" w:rsidP="00CC5C8B">
            <w:pPr>
              <w:rPr>
                <w:b/>
                <w:sz w:val="6"/>
                <w:szCs w:val="6"/>
              </w:rPr>
            </w:pPr>
          </w:p>
          <w:p w14:paraId="3750F03D" w14:textId="77777777" w:rsidR="00CC5C8B" w:rsidRDefault="00CC5C8B" w:rsidP="00876CB3">
            <w:pPr>
              <w:spacing w:after="120"/>
              <w:rPr>
                <w:b/>
                <w:sz w:val="28"/>
                <w:szCs w:val="28"/>
              </w:rPr>
            </w:pPr>
            <w:r>
              <w:rPr>
                <w:b/>
                <w:sz w:val="28"/>
                <w:szCs w:val="28"/>
              </w:rPr>
              <w:t>LOOKING FORWARD - EXPECTED IMPACT ON INDICATOR</w:t>
            </w:r>
          </w:p>
          <w:p w14:paraId="5D0D53F0" w14:textId="77777777" w:rsidR="00F03B6F" w:rsidRPr="00F03B6F" w:rsidRDefault="00F03B6F" w:rsidP="00876CB3">
            <w:pPr>
              <w:spacing w:after="120"/>
              <w:rPr>
                <w:sz w:val="24"/>
                <w:szCs w:val="24"/>
              </w:rPr>
            </w:pPr>
            <w:r w:rsidRPr="00F03B6F">
              <w:rPr>
                <w:sz w:val="24"/>
                <w:szCs w:val="24"/>
              </w:rPr>
              <w:t>The Scottish Government’s Fairer Work policy continues to focus on the requirement to encourage employers to pay the living wage.</w:t>
            </w:r>
          </w:p>
          <w:p w14:paraId="75C8242D" w14:textId="3C3E5A8D" w:rsidR="00CC5C8B" w:rsidRPr="00CC5C8B" w:rsidRDefault="00CC5C8B" w:rsidP="00F03B6F">
            <w:pPr>
              <w:rPr>
                <w:rFonts w:ascii="Arial" w:hAnsi="Arial" w:cs="Arial"/>
                <w:szCs w:val="28"/>
              </w:rPr>
            </w:pPr>
          </w:p>
        </w:tc>
      </w:tr>
    </w:tbl>
    <w:p w14:paraId="5C0BEC99" w14:textId="77777777" w:rsidR="00F35DB7" w:rsidRDefault="00F35DB7">
      <w:r>
        <w:br w:type="page"/>
      </w:r>
    </w:p>
    <w:tbl>
      <w:tblPr>
        <w:tblStyle w:val="TableGrid4"/>
        <w:tblW w:w="15309" w:type="dxa"/>
        <w:jc w:val="center"/>
        <w:tblLook w:val="04A0" w:firstRow="1" w:lastRow="0" w:firstColumn="1" w:lastColumn="0" w:noHBand="0" w:noVBand="1"/>
      </w:tblPr>
      <w:tblGrid>
        <w:gridCol w:w="5949"/>
        <w:gridCol w:w="1559"/>
        <w:gridCol w:w="6095"/>
        <w:gridCol w:w="1706"/>
      </w:tblGrid>
      <w:tr w:rsidR="00912400" w:rsidRPr="005D65E6" w14:paraId="4F9F93A9" w14:textId="77777777" w:rsidTr="00912400">
        <w:trPr>
          <w:trHeight w:val="794"/>
          <w:jc w:val="center"/>
        </w:trPr>
        <w:tc>
          <w:tcPr>
            <w:tcW w:w="15309" w:type="dxa"/>
            <w:gridSpan w:val="4"/>
            <w:vAlign w:val="center"/>
          </w:tcPr>
          <w:p w14:paraId="78BB9712" w14:textId="0FDE5E97" w:rsidR="00912400" w:rsidRPr="005D65E6" w:rsidRDefault="00912400" w:rsidP="00473295">
            <w:pPr>
              <w:rPr>
                <w:b/>
                <w:sz w:val="32"/>
              </w:rPr>
            </w:pPr>
            <w:r w:rsidRPr="005D65E6">
              <w:rPr>
                <w:b/>
                <w:sz w:val="32"/>
              </w:rPr>
              <w:lastRenderedPageBreak/>
              <w:t xml:space="preserve">SERVICE: </w:t>
            </w:r>
            <w:r w:rsidR="00473295">
              <w:rPr>
                <w:b/>
                <w:sz w:val="32"/>
              </w:rPr>
              <w:t>DEVELOPMENT AND ECONOMIC GROWTH</w:t>
            </w:r>
          </w:p>
        </w:tc>
      </w:tr>
      <w:tr w:rsidR="00F3319B" w:rsidRPr="00824C57" w14:paraId="24428A29" w14:textId="77777777" w:rsidTr="00CC5C8B">
        <w:trPr>
          <w:trHeight w:val="567"/>
          <w:jc w:val="center"/>
        </w:trPr>
        <w:tc>
          <w:tcPr>
            <w:tcW w:w="15309" w:type="dxa"/>
            <w:gridSpan w:val="4"/>
            <w:vAlign w:val="center"/>
          </w:tcPr>
          <w:p w14:paraId="37F099A1" w14:textId="2FB679FD" w:rsidR="00F3319B" w:rsidRPr="00824C57" w:rsidRDefault="0069713C" w:rsidP="00E15EAC">
            <w:pPr>
              <w:pStyle w:val="Heading1"/>
              <w:spacing w:before="0"/>
              <w:outlineLvl w:val="0"/>
              <w:rPr>
                <w:b/>
                <w:color w:val="auto"/>
              </w:rPr>
            </w:pPr>
            <w:bookmarkStart w:id="49" w:name="_Toc56757727"/>
            <w:r>
              <w:rPr>
                <w:b/>
                <w:color w:val="auto"/>
              </w:rPr>
              <w:t>INDICATOR REF: ECON8 -</w:t>
            </w:r>
            <w:r w:rsidR="00F3319B" w:rsidRPr="00824C57">
              <w:rPr>
                <w:b/>
                <w:color w:val="auto"/>
              </w:rPr>
              <w:t xml:space="preserve"> Proportion of properties receiving superfast broadband</w:t>
            </w:r>
            <w:bookmarkEnd w:id="49"/>
            <w:r w:rsidR="00CA7DF1" w:rsidRPr="00824C57">
              <w:rPr>
                <w:b/>
                <w:color w:val="auto"/>
              </w:rPr>
              <w:t xml:space="preserve"> </w:t>
            </w:r>
          </w:p>
        </w:tc>
      </w:tr>
      <w:tr w:rsidR="00E06E41" w:rsidRPr="00D21502" w14:paraId="4C998F5F" w14:textId="77777777" w:rsidTr="00CC5C8B">
        <w:trPr>
          <w:trHeight w:val="454"/>
          <w:jc w:val="center"/>
        </w:trPr>
        <w:tc>
          <w:tcPr>
            <w:tcW w:w="15309" w:type="dxa"/>
            <w:gridSpan w:val="4"/>
            <w:vAlign w:val="center"/>
          </w:tcPr>
          <w:p w14:paraId="27BB041D" w14:textId="6CF568FA" w:rsidR="00E06E41" w:rsidRPr="003E332F" w:rsidRDefault="00E06E41" w:rsidP="00F35DB7">
            <w:pPr>
              <w:jc w:val="center"/>
              <w:rPr>
                <w:b/>
                <w:color w:val="0070C0"/>
                <w:sz w:val="28"/>
                <w:szCs w:val="28"/>
              </w:rPr>
            </w:pPr>
            <w:r w:rsidRPr="003E332F">
              <w:rPr>
                <w:b/>
                <w:color w:val="0070C0"/>
                <w:sz w:val="28"/>
                <w:szCs w:val="28"/>
              </w:rPr>
              <w:t>Performance Range:</w:t>
            </w:r>
            <w:r w:rsidR="009A2A7A" w:rsidRPr="004C7782">
              <w:rPr>
                <w:b/>
                <w:color w:val="0070C0"/>
                <w:sz w:val="28"/>
                <w:szCs w:val="28"/>
              </w:rPr>
              <w:t xml:space="preserve"> </w:t>
            </w:r>
            <w:r w:rsidR="00DA7059">
              <w:rPr>
                <w:b/>
                <w:color w:val="0070C0"/>
                <w:sz w:val="28"/>
                <w:szCs w:val="28"/>
              </w:rPr>
              <w:t>62.5</w:t>
            </w:r>
            <w:r w:rsidR="009A2A7A" w:rsidRPr="003E332F">
              <w:rPr>
                <w:b/>
                <w:color w:val="0070C0"/>
                <w:sz w:val="28"/>
                <w:szCs w:val="28"/>
              </w:rPr>
              <w:t xml:space="preserve">% to </w:t>
            </w:r>
            <w:r w:rsidR="00DA7059">
              <w:rPr>
                <w:b/>
                <w:color w:val="0070C0"/>
                <w:sz w:val="28"/>
                <w:szCs w:val="28"/>
              </w:rPr>
              <w:t>98.9</w:t>
            </w:r>
            <w:r w:rsidR="009A2A7A" w:rsidRPr="003E332F">
              <w:rPr>
                <w:b/>
                <w:color w:val="0070C0"/>
                <w:sz w:val="28"/>
                <w:szCs w:val="28"/>
              </w:rPr>
              <w:t>%</w:t>
            </w:r>
            <w:r w:rsidR="005E2139">
              <w:rPr>
                <w:b/>
                <w:color w:val="0070C0"/>
                <w:sz w:val="28"/>
                <w:szCs w:val="28"/>
              </w:rPr>
              <w:t xml:space="preserve"> </w:t>
            </w:r>
            <w:r w:rsidR="005E2139" w:rsidRPr="005E2139">
              <w:rPr>
                <w:b/>
                <w:color w:val="0070C0"/>
                <w:sz w:val="28"/>
                <w:szCs w:val="28"/>
              </w:rPr>
              <w:t>(Highest is best)</w:t>
            </w:r>
          </w:p>
        </w:tc>
      </w:tr>
      <w:tr w:rsidR="00F3319B" w:rsidRPr="00D21502" w14:paraId="0BC44D3B" w14:textId="77777777" w:rsidTr="00E83409">
        <w:trPr>
          <w:trHeight w:val="397"/>
          <w:jc w:val="center"/>
        </w:trPr>
        <w:tc>
          <w:tcPr>
            <w:tcW w:w="7508" w:type="dxa"/>
            <w:gridSpan w:val="2"/>
            <w:shd w:val="clear" w:color="auto" w:fill="D9E2F3" w:themeFill="accent5" w:themeFillTint="33"/>
            <w:vAlign w:val="center"/>
          </w:tcPr>
          <w:p w14:paraId="3A1E0A40" w14:textId="77777777" w:rsidR="00F3319B" w:rsidRPr="00D21502" w:rsidRDefault="00F3319B" w:rsidP="009A329B">
            <w:pPr>
              <w:jc w:val="center"/>
              <w:rPr>
                <w:b/>
                <w:sz w:val="28"/>
                <w:szCs w:val="28"/>
              </w:rPr>
            </w:pPr>
            <w:r w:rsidRPr="00D21502">
              <w:rPr>
                <w:b/>
                <w:sz w:val="28"/>
                <w:szCs w:val="28"/>
              </w:rPr>
              <w:t>ARGYLL AND BUTE</w:t>
            </w:r>
          </w:p>
        </w:tc>
        <w:tc>
          <w:tcPr>
            <w:tcW w:w="7801" w:type="dxa"/>
            <w:gridSpan w:val="2"/>
            <w:shd w:val="clear" w:color="auto" w:fill="D9E2F3" w:themeFill="accent5" w:themeFillTint="33"/>
            <w:vAlign w:val="center"/>
          </w:tcPr>
          <w:p w14:paraId="2D7C11D1" w14:textId="77777777" w:rsidR="00F3319B" w:rsidRPr="00D21502" w:rsidRDefault="00F3319B" w:rsidP="009A329B">
            <w:pPr>
              <w:jc w:val="center"/>
              <w:rPr>
                <w:b/>
                <w:sz w:val="28"/>
                <w:szCs w:val="28"/>
              </w:rPr>
            </w:pPr>
            <w:r w:rsidRPr="00D21502">
              <w:rPr>
                <w:b/>
                <w:sz w:val="28"/>
                <w:szCs w:val="28"/>
              </w:rPr>
              <w:t>SCOTLAND</w:t>
            </w:r>
          </w:p>
        </w:tc>
      </w:tr>
      <w:tr w:rsidR="00F3319B" w:rsidRPr="00D21502" w14:paraId="53FFD834" w14:textId="77777777" w:rsidTr="00CC5C8B">
        <w:trPr>
          <w:trHeight w:val="397"/>
          <w:jc w:val="center"/>
        </w:trPr>
        <w:tc>
          <w:tcPr>
            <w:tcW w:w="7508" w:type="dxa"/>
            <w:gridSpan w:val="2"/>
            <w:vAlign w:val="center"/>
          </w:tcPr>
          <w:p w14:paraId="04D37CCC" w14:textId="1DC92AA5" w:rsidR="00F3319B" w:rsidRPr="009249F4" w:rsidRDefault="00DA7059" w:rsidP="009A329B">
            <w:pPr>
              <w:jc w:val="center"/>
              <w:rPr>
                <w:b/>
                <w:sz w:val="28"/>
                <w:szCs w:val="28"/>
              </w:rPr>
            </w:pPr>
            <w:r>
              <w:rPr>
                <w:b/>
                <w:sz w:val="28"/>
                <w:szCs w:val="28"/>
              </w:rPr>
              <w:t>78.3</w:t>
            </w:r>
            <w:r w:rsidR="00F35DB7">
              <w:rPr>
                <w:b/>
                <w:sz w:val="28"/>
                <w:szCs w:val="28"/>
              </w:rPr>
              <w:t>%</w:t>
            </w:r>
          </w:p>
        </w:tc>
        <w:tc>
          <w:tcPr>
            <w:tcW w:w="7801" w:type="dxa"/>
            <w:gridSpan w:val="2"/>
            <w:vAlign w:val="center"/>
          </w:tcPr>
          <w:p w14:paraId="40673F9A" w14:textId="31017661" w:rsidR="00F3319B" w:rsidRPr="00D21502" w:rsidRDefault="00DA7059" w:rsidP="009A329B">
            <w:pPr>
              <w:jc w:val="center"/>
              <w:rPr>
                <w:b/>
                <w:sz w:val="28"/>
                <w:szCs w:val="28"/>
              </w:rPr>
            </w:pPr>
            <w:r>
              <w:rPr>
                <w:b/>
                <w:sz w:val="28"/>
                <w:szCs w:val="28"/>
              </w:rPr>
              <w:t>92.01</w:t>
            </w:r>
            <w:r w:rsidR="00F35DB7">
              <w:rPr>
                <w:b/>
                <w:sz w:val="28"/>
                <w:szCs w:val="28"/>
              </w:rPr>
              <w:t>%</w:t>
            </w:r>
          </w:p>
        </w:tc>
      </w:tr>
      <w:tr w:rsidR="00CC5C8B" w:rsidRPr="00D21502" w14:paraId="6FB09AB1" w14:textId="77777777" w:rsidTr="00CC5C8B">
        <w:trPr>
          <w:trHeight w:val="397"/>
          <w:jc w:val="center"/>
        </w:trPr>
        <w:tc>
          <w:tcPr>
            <w:tcW w:w="5949" w:type="dxa"/>
            <w:vAlign w:val="center"/>
          </w:tcPr>
          <w:p w14:paraId="191613E4" w14:textId="30C95D44" w:rsidR="00CC5C8B" w:rsidRPr="009249F4" w:rsidRDefault="00CC5C8B" w:rsidP="00F35DB7">
            <w:pPr>
              <w:jc w:val="center"/>
              <w:rPr>
                <w:b/>
                <w:sz w:val="28"/>
                <w:szCs w:val="28"/>
              </w:rPr>
            </w:pPr>
            <w:r w:rsidRPr="00721B18">
              <w:rPr>
                <w:b/>
                <w:sz w:val="28"/>
                <w:szCs w:val="28"/>
              </w:rPr>
              <w:t>CHANGE 201</w:t>
            </w:r>
            <w:r w:rsidR="00F35DB7">
              <w:rPr>
                <w:b/>
                <w:sz w:val="28"/>
                <w:szCs w:val="28"/>
              </w:rPr>
              <w:t>7</w:t>
            </w:r>
            <w:r w:rsidRPr="00721B18">
              <w:rPr>
                <w:b/>
                <w:sz w:val="28"/>
                <w:szCs w:val="28"/>
              </w:rPr>
              <w:t>/1</w:t>
            </w:r>
            <w:r w:rsidR="00F35DB7">
              <w:rPr>
                <w:b/>
                <w:sz w:val="28"/>
                <w:szCs w:val="28"/>
              </w:rPr>
              <w:t>8</w:t>
            </w:r>
            <w:r w:rsidRPr="00721B18">
              <w:rPr>
                <w:b/>
                <w:sz w:val="28"/>
                <w:szCs w:val="28"/>
              </w:rPr>
              <w:t xml:space="preserve"> TO </w:t>
            </w:r>
            <w:r>
              <w:rPr>
                <w:b/>
                <w:sz w:val="28"/>
                <w:szCs w:val="28"/>
              </w:rPr>
              <w:t>201</w:t>
            </w:r>
            <w:r w:rsidR="00F35DB7">
              <w:rPr>
                <w:b/>
                <w:sz w:val="28"/>
                <w:szCs w:val="28"/>
              </w:rPr>
              <w:t>8</w:t>
            </w:r>
            <w:r>
              <w:rPr>
                <w:b/>
                <w:sz w:val="28"/>
                <w:szCs w:val="28"/>
              </w:rPr>
              <w:t>/1</w:t>
            </w:r>
            <w:r w:rsidR="00F35DB7">
              <w:rPr>
                <w:b/>
                <w:sz w:val="28"/>
                <w:szCs w:val="28"/>
              </w:rPr>
              <w:t>9</w:t>
            </w:r>
          </w:p>
        </w:tc>
        <w:tc>
          <w:tcPr>
            <w:tcW w:w="1559" w:type="dxa"/>
            <w:vAlign w:val="center"/>
          </w:tcPr>
          <w:p w14:paraId="7F05D2DD" w14:textId="76B8BE51" w:rsidR="00CC5C8B" w:rsidRPr="009249F4" w:rsidRDefault="00DA7059" w:rsidP="009A329B">
            <w:pPr>
              <w:jc w:val="center"/>
              <w:rPr>
                <w:b/>
                <w:sz w:val="28"/>
                <w:szCs w:val="28"/>
              </w:rPr>
            </w:pPr>
            <w:r>
              <w:rPr>
                <w:b/>
                <w:sz w:val="28"/>
                <w:szCs w:val="28"/>
              </w:rPr>
              <w:t>0.58</w:t>
            </w:r>
            <w:r w:rsidR="008E5FE9">
              <w:rPr>
                <w:b/>
                <w:sz w:val="28"/>
                <w:szCs w:val="28"/>
              </w:rPr>
              <w:t xml:space="preserve"> </w:t>
            </w:r>
            <w:r w:rsidR="008E5FE9" w:rsidRPr="00C14931">
              <w:rPr>
                <w:b/>
                <w:sz w:val="28"/>
                <w:szCs w:val="28"/>
              </w:rPr>
              <w:sym w:font="Wingdings" w:char="F0E9"/>
            </w:r>
          </w:p>
        </w:tc>
        <w:tc>
          <w:tcPr>
            <w:tcW w:w="6095" w:type="dxa"/>
            <w:vAlign w:val="center"/>
          </w:tcPr>
          <w:p w14:paraId="1D775B9A" w14:textId="5B2C1759" w:rsidR="00CC5C8B" w:rsidRDefault="00CC5C8B" w:rsidP="00F35DB7">
            <w:pPr>
              <w:jc w:val="center"/>
              <w:rPr>
                <w:b/>
                <w:sz w:val="28"/>
                <w:szCs w:val="28"/>
              </w:rPr>
            </w:pPr>
            <w:r>
              <w:rPr>
                <w:sz w:val="28"/>
                <w:szCs w:val="28"/>
              </w:rPr>
              <w:t>CHANGE 201</w:t>
            </w:r>
            <w:r w:rsidR="00F35DB7">
              <w:rPr>
                <w:sz w:val="28"/>
                <w:szCs w:val="28"/>
              </w:rPr>
              <w:t>7</w:t>
            </w:r>
            <w:r>
              <w:rPr>
                <w:sz w:val="28"/>
                <w:szCs w:val="28"/>
              </w:rPr>
              <w:t>/1</w:t>
            </w:r>
            <w:r w:rsidR="00F35DB7">
              <w:rPr>
                <w:sz w:val="28"/>
                <w:szCs w:val="28"/>
              </w:rPr>
              <w:t>8</w:t>
            </w:r>
            <w:r>
              <w:rPr>
                <w:sz w:val="28"/>
                <w:szCs w:val="28"/>
              </w:rPr>
              <w:t xml:space="preserve"> TO 201</w:t>
            </w:r>
            <w:r w:rsidR="00F35DB7">
              <w:rPr>
                <w:sz w:val="28"/>
                <w:szCs w:val="28"/>
              </w:rPr>
              <w:t>8</w:t>
            </w:r>
            <w:r>
              <w:rPr>
                <w:sz w:val="28"/>
                <w:szCs w:val="28"/>
              </w:rPr>
              <w:t>/1</w:t>
            </w:r>
            <w:r w:rsidR="00F35DB7">
              <w:rPr>
                <w:sz w:val="28"/>
                <w:szCs w:val="28"/>
              </w:rPr>
              <w:t>9</w:t>
            </w:r>
          </w:p>
        </w:tc>
        <w:tc>
          <w:tcPr>
            <w:tcW w:w="1706" w:type="dxa"/>
            <w:vAlign w:val="center"/>
          </w:tcPr>
          <w:p w14:paraId="0701EB68" w14:textId="0CFEF688" w:rsidR="00CC5C8B" w:rsidRDefault="008E5FE9" w:rsidP="009A329B">
            <w:pPr>
              <w:jc w:val="center"/>
              <w:rPr>
                <w:b/>
                <w:sz w:val="28"/>
                <w:szCs w:val="28"/>
              </w:rPr>
            </w:pPr>
            <w:r>
              <w:rPr>
                <w:sz w:val="28"/>
                <w:szCs w:val="28"/>
              </w:rPr>
              <w:t xml:space="preserve">0.88 </w:t>
            </w:r>
            <w:r w:rsidRPr="00C14931">
              <w:rPr>
                <w:b/>
                <w:sz w:val="28"/>
                <w:szCs w:val="28"/>
              </w:rPr>
              <w:sym w:font="Wingdings" w:char="F0E9"/>
            </w:r>
          </w:p>
        </w:tc>
      </w:tr>
      <w:tr w:rsidR="00CC5C8B" w:rsidRPr="00D21502" w14:paraId="71533451" w14:textId="77777777" w:rsidTr="00CC5C8B">
        <w:trPr>
          <w:trHeight w:val="397"/>
          <w:jc w:val="center"/>
        </w:trPr>
        <w:tc>
          <w:tcPr>
            <w:tcW w:w="5949" w:type="dxa"/>
            <w:vAlign w:val="center"/>
          </w:tcPr>
          <w:p w14:paraId="652B750E" w14:textId="7319FF64" w:rsidR="00CC5C8B" w:rsidRPr="00721B18" w:rsidRDefault="00CC5C8B" w:rsidP="00F35DB7">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w:t>
            </w:r>
            <w:r w:rsidR="00F35DB7">
              <w:rPr>
                <w:b/>
                <w:sz w:val="28"/>
                <w:szCs w:val="28"/>
              </w:rPr>
              <w:t>8</w:t>
            </w:r>
            <w:r>
              <w:rPr>
                <w:b/>
                <w:sz w:val="28"/>
                <w:szCs w:val="28"/>
              </w:rPr>
              <w:t>/1</w:t>
            </w:r>
            <w:r w:rsidR="00F35DB7">
              <w:rPr>
                <w:b/>
                <w:sz w:val="28"/>
                <w:szCs w:val="28"/>
              </w:rPr>
              <w:t>9</w:t>
            </w:r>
          </w:p>
        </w:tc>
        <w:tc>
          <w:tcPr>
            <w:tcW w:w="1559" w:type="dxa"/>
            <w:vAlign w:val="center"/>
          </w:tcPr>
          <w:p w14:paraId="4F36848F" w14:textId="094AD401" w:rsidR="00CC5C8B" w:rsidRPr="009249F4" w:rsidRDefault="00DA7059" w:rsidP="009A329B">
            <w:pPr>
              <w:jc w:val="center"/>
              <w:rPr>
                <w:b/>
                <w:sz w:val="28"/>
                <w:szCs w:val="28"/>
              </w:rPr>
            </w:pPr>
            <w:r>
              <w:rPr>
                <w:b/>
                <w:sz w:val="28"/>
                <w:szCs w:val="28"/>
              </w:rPr>
              <w:t>74.3</w:t>
            </w:r>
            <w:r w:rsidR="008E5FE9">
              <w:rPr>
                <w:b/>
                <w:sz w:val="28"/>
                <w:szCs w:val="28"/>
              </w:rPr>
              <w:t xml:space="preserve"> </w:t>
            </w:r>
            <w:r w:rsidR="008E5FE9" w:rsidRPr="00C14931">
              <w:rPr>
                <w:b/>
                <w:sz w:val="28"/>
                <w:szCs w:val="28"/>
              </w:rPr>
              <w:sym w:font="Wingdings" w:char="F0E9"/>
            </w:r>
          </w:p>
        </w:tc>
        <w:tc>
          <w:tcPr>
            <w:tcW w:w="6095" w:type="dxa"/>
            <w:tcBorders>
              <w:bottom w:val="single" w:sz="4" w:space="0" w:color="auto"/>
            </w:tcBorders>
            <w:vAlign w:val="center"/>
          </w:tcPr>
          <w:p w14:paraId="7988400E" w14:textId="0593659D" w:rsidR="00CC5C8B" w:rsidRDefault="00CC5C8B" w:rsidP="00F35DB7">
            <w:pPr>
              <w:jc w:val="center"/>
              <w:rPr>
                <w:sz w:val="28"/>
                <w:szCs w:val="28"/>
              </w:rPr>
            </w:pPr>
            <w:r>
              <w:rPr>
                <w:sz w:val="28"/>
                <w:szCs w:val="28"/>
              </w:rPr>
              <w:t xml:space="preserve">CHANGE </w:t>
            </w:r>
            <w:r w:rsidRPr="00903E39">
              <w:rPr>
                <w:sz w:val="28"/>
                <w:szCs w:val="28"/>
              </w:rPr>
              <w:t xml:space="preserve">BASE YEAR </w:t>
            </w:r>
            <w:r>
              <w:rPr>
                <w:sz w:val="28"/>
                <w:szCs w:val="28"/>
              </w:rPr>
              <w:t>TO 201</w:t>
            </w:r>
            <w:r w:rsidR="00F35DB7">
              <w:rPr>
                <w:sz w:val="28"/>
                <w:szCs w:val="28"/>
              </w:rPr>
              <w:t>8</w:t>
            </w:r>
            <w:r>
              <w:rPr>
                <w:sz w:val="28"/>
                <w:szCs w:val="28"/>
              </w:rPr>
              <w:t>/1</w:t>
            </w:r>
            <w:r w:rsidR="00F35DB7">
              <w:rPr>
                <w:sz w:val="28"/>
                <w:szCs w:val="28"/>
              </w:rPr>
              <w:t>9</w:t>
            </w:r>
          </w:p>
        </w:tc>
        <w:tc>
          <w:tcPr>
            <w:tcW w:w="1706" w:type="dxa"/>
            <w:tcBorders>
              <w:bottom w:val="single" w:sz="4" w:space="0" w:color="auto"/>
            </w:tcBorders>
            <w:vAlign w:val="center"/>
          </w:tcPr>
          <w:p w14:paraId="7B0E5EAE" w14:textId="599072EB" w:rsidR="00CC5C8B" w:rsidRDefault="008E5FE9" w:rsidP="009A329B">
            <w:pPr>
              <w:jc w:val="center"/>
              <w:rPr>
                <w:sz w:val="28"/>
                <w:szCs w:val="28"/>
              </w:rPr>
            </w:pPr>
            <w:r>
              <w:rPr>
                <w:sz w:val="28"/>
                <w:szCs w:val="28"/>
              </w:rPr>
              <w:t xml:space="preserve">35.93 </w:t>
            </w:r>
            <w:r w:rsidRPr="00C14931">
              <w:rPr>
                <w:b/>
                <w:sz w:val="28"/>
                <w:szCs w:val="28"/>
              </w:rPr>
              <w:sym w:font="Wingdings" w:char="F0E9"/>
            </w:r>
          </w:p>
        </w:tc>
      </w:tr>
      <w:tr w:rsidR="00CC5C8B" w:rsidRPr="00D21502" w14:paraId="6A0A26A4" w14:textId="77777777" w:rsidTr="00B318EA">
        <w:trPr>
          <w:trHeight w:val="397"/>
          <w:jc w:val="center"/>
        </w:trPr>
        <w:tc>
          <w:tcPr>
            <w:tcW w:w="7508" w:type="dxa"/>
            <w:gridSpan w:val="2"/>
            <w:tcBorders>
              <w:bottom w:val="single" w:sz="4" w:space="0" w:color="auto"/>
            </w:tcBorders>
            <w:vAlign w:val="center"/>
          </w:tcPr>
          <w:p w14:paraId="200AF20D" w14:textId="1CAAF8D9" w:rsidR="00CC5C8B" w:rsidRDefault="00CC5C8B" w:rsidP="00F35DB7">
            <w:pPr>
              <w:jc w:val="center"/>
              <w:rPr>
                <w:b/>
                <w:sz w:val="28"/>
                <w:szCs w:val="28"/>
              </w:rPr>
            </w:pPr>
            <w:r w:rsidRPr="009249F4">
              <w:rPr>
                <w:b/>
                <w:sz w:val="28"/>
                <w:szCs w:val="28"/>
              </w:rPr>
              <w:t>RANK POSITION</w:t>
            </w:r>
            <w:r w:rsidRPr="00474226">
              <w:rPr>
                <w:b/>
                <w:sz w:val="28"/>
                <w:szCs w:val="28"/>
              </w:rPr>
              <w:t>:</w:t>
            </w:r>
            <w:r w:rsidR="00513443">
              <w:rPr>
                <w:b/>
                <w:sz w:val="28"/>
                <w:szCs w:val="28"/>
              </w:rPr>
              <w:t xml:space="preserve"> </w:t>
            </w:r>
            <w:r w:rsidR="00DA7059">
              <w:rPr>
                <w:b/>
                <w:sz w:val="28"/>
                <w:szCs w:val="28"/>
              </w:rPr>
              <w:t>28</w:t>
            </w:r>
            <w:r w:rsidR="00513443">
              <w:rPr>
                <w:b/>
                <w:sz w:val="28"/>
                <w:szCs w:val="28"/>
              </w:rPr>
              <w:t xml:space="preserve">   </w:t>
            </w:r>
            <w:r w:rsidRPr="009249F4">
              <w:rPr>
                <w:b/>
                <w:sz w:val="28"/>
                <w:szCs w:val="28"/>
              </w:rPr>
              <w:t xml:space="preserve">RANK MOVEMENT: </w:t>
            </w:r>
            <w:r w:rsidR="00DA7059">
              <w:rPr>
                <w:b/>
                <w:sz w:val="28"/>
                <w:szCs w:val="28"/>
              </w:rPr>
              <w:t>0</w:t>
            </w:r>
            <w:r w:rsidR="008E5FE9">
              <w:rPr>
                <w:b/>
                <w:sz w:val="28"/>
                <w:szCs w:val="28"/>
              </w:rPr>
              <w:t xml:space="preserve"> </w:t>
            </w:r>
            <w:r w:rsidR="008E5FE9" w:rsidRPr="00A83E3B">
              <w:rPr>
                <w:b/>
                <w:color w:val="0070C0"/>
                <w:sz w:val="28"/>
                <w:szCs w:val="28"/>
              </w:rPr>
              <w:sym w:font="Wingdings" w:char="F0E8"/>
            </w:r>
          </w:p>
        </w:tc>
        <w:tc>
          <w:tcPr>
            <w:tcW w:w="7801" w:type="dxa"/>
            <w:gridSpan w:val="2"/>
            <w:tcBorders>
              <w:bottom w:val="nil"/>
            </w:tcBorders>
            <w:shd w:val="clear" w:color="auto" w:fill="D9D9D9" w:themeFill="background1" w:themeFillShade="D9"/>
            <w:vAlign w:val="center"/>
          </w:tcPr>
          <w:p w14:paraId="5EF4A27B" w14:textId="77777777" w:rsidR="00CC5C8B" w:rsidRDefault="00CC5C8B" w:rsidP="009A329B">
            <w:pPr>
              <w:jc w:val="center"/>
              <w:rPr>
                <w:sz w:val="28"/>
                <w:szCs w:val="28"/>
              </w:rPr>
            </w:pPr>
          </w:p>
        </w:tc>
      </w:tr>
      <w:tr w:rsidR="00CC5C8B" w:rsidRPr="00D21502" w14:paraId="452FD35F" w14:textId="77777777" w:rsidTr="00B318EA">
        <w:trPr>
          <w:trHeight w:val="397"/>
          <w:jc w:val="center"/>
        </w:trPr>
        <w:tc>
          <w:tcPr>
            <w:tcW w:w="7508" w:type="dxa"/>
            <w:gridSpan w:val="2"/>
            <w:tcBorders>
              <w:bottom w:val="nil"/>
            </w:tcBorders>
            <w:shd w:val="clear" w:color="auto" w:fill="D9E2F3" w:themeFill="accent5" w:themeFillTint="33"/>
            <w:vAlign w:val="center"/>
          </w:tcPr>
          <w:p w14:paraId="2279593E" w14:textId="296877B5" w:rsidR="00CC5C8B" w:rsidRDefault="00CC5C8B" w:rsidP="00F35DB7">
            <w:pPr>
              <w:jc w:val="center"/>
              <w:rPr>
                <w:b/>
                <w:sz w:val="28"/>
                <w:szCs w:val="28"/>
              </w:rPr>
            </w:pPr>
            <w:r>
              <w:rPr>
                <w:b/>
                <w:sz w:val="28"/>
                <w:szCs w:val="28"/>
              </w:rPr>
              <w:t>FAMILY GROUP RANKING 201</w:t>
            </w:r>
            <w:r w:rsidR="00F35DB7">
              <w:rPr>
                <w:b/>
                <w:sz w:val="28"/>
                <w:szCs w:val="28"/>
              </w:rPr>
              <w:t>8</w:t>
            </w:r>
            <w:r>
              <w:rPr>
                <w:b/>
                <w:sz w:val="28"/>
                <w:szCs w:val="28"/>
              </w:rPr>
              <w:t>/1</w:t>
            </w:r>
            <w:r w:rsidR="00F35DB7">
              <w:rPr>
                <w:b/>
                <w:sz w:val="28"/>
                <w:szCs w:val="28"/>
              </w:rPr>
              <w:t>9</w:t>
            </w:r>
          </w:p>
        </w:tc>
        <w:tc>
          <w:tcPr>
            <w:tcW w:w="7801" w:type="dxa"/>
            <w:gridSpan w:val="2"/>
            <w:tcBorders>
              <w:top w:val="nil"/>
              <w:bottom w:val="nil"/>
            </w:tcBorders>
            <w:shd w:val="clear" w:color="auto" w:fill="D9D9D9" w:themeFill="background1" w:themeFillShade="D9"/>
            <w:vAlign w:val="center"/>
          </w:tcPr>
          <w:p w14:paraId="24615613" w14:textId="77777777" w:rsidR="00CC5C8B" w:rsidRDefault="00CC5C8B" w:rsidP="009A329B">
            <w:pPr>
              <w:jc w:val="center"/>
              <w:rPr>
                <w:sz w:val="28"/>
                <w:szCs w:val="28"/>
              </w:rPr>
            </w:pPr>
          </w:p>
        </w:tc>
      </w:tr>
      <w:tr w:rsidR="00CC5C8B" w:rsidRPr="00D21502" w14:paraId="6BF08FD3" w14:textId="77777777" w:rsidTr="00B318EA">
        <w:trPr>
          <w:trHeight w:val="397"/>
          <w:jc w:val="center"/>
        </w:trPr>
        <w:tc>
          <w:tcPr>
            <w:tcW w:w="7508" w:type="dxa"/>
            <w:gridSpan w:val="2"/>
            <w:tcBorders>
              <w:top w:val="nil"/>
            </w:tcBorders>
            <w:shd w:val="clear" w:color="auto" w:fill="D9E2F3" w:themeFill="accent5" w:themeFillTint="33"/>
            <w:vAlign w:val="center"/>
          </w:tcPr>
          <w:p w14:paraId="56CCAD64" w14:textId="771BD67C" w:rsidR="00CC5C8B" w:rsidRDefault="00CC5C8B" w:rsidP="00F35DB7">
            <w:pPr>
              <w:jc w:val="center"/>
              <w:rPr>
                <w:b/>
                <w:sz w:val="28"/>
                <w:szCs w:val="28"/>
              </w:rPr>
            </w:pPr>
            <w:r>
              <w:rPr>
                <w:b/>
                <w:sz w:val="28"/>
                <w:szCs w:val="28"/>
              </w:rPr>
              <w:t>RANK POSITION:</w:t>
            </w:r>
            <w:r w:rsidR="00FD1CF1">
              <w:rPr>
                <w:b/>
                <w:sz w:val="28"/>
                <w:szCs w:val="28"/>
              </w:rPr>
              <w:t xml:space="preserve"> </w:t>
            </w:r>
            <w:r w:rsidR="00DA7059">
              <w:rPr>
                <w:b/>
                <w:sz w:val="28"/>
                <w:szCs w:val="28"/>
              </w:rPr>
              <w:t>4</w:t>
            </w:r>
            <w:r w:rsidR="00FD1CF1">
              <w:rPr>
                <w:b/>
                <w:sz w:val="28"/>
                <w:szCs w:val="28"/>
              </w:rPr>
              <w:t xml:space="preserve">   </w:t>
            </w:r>
            <w:r>
              <w:rPr>
                <w:b/>
                <w:sz w:val="28"/>
                <w:szCs w:val="28"/>
              </w:rPr>
              <w:t xml:space="preserve">RANK MOVEMENT: </w:t>
            </w:r>
            <w:r w:rsidR="00DA7059">
              <w:rPr>
                <w:b/>
                <w:sz w:val="28"/>
                <w:szCs w:val="28"/>
              </w:rPr>
              <w:t>0</w:t>
            </w:r>
            <w:r w:rsidR="008E5FE9">
              <w:rPr>
                <w:b/>
                <w:sz w:val="28"/>
                <w:szCs w:val="28"/>
              </w:rPr>
              <w:t xml:space="preserve"> </w:t>
            </w:r>
            <w:r w:rsidR="008E5FE9" w:rsidRPr="00A83E3B">
              <w:rPr>
                <w:b/>
                <w:color w:val="0070C0"/>
                <w:sz w:val="28"/>
                <w:szCs w:val="28"/>
              </w:rPr>
              <w:sym w:font="Wingdings" w:char="F0E8"/>
            </w:r>
          </w:p>
        </w:tc>
        <w:tc>
          <w:tcPr>
            <w:tcW w:w="7801" w:type="dxa"/>
            <w:gridSpan w:val="2"/>
            <w:tcBorders>
              <w:top w:val="nil"/>
            </w:tcBorders>
            <w:shd w:val="clear" w:color="auto" w:fill="D9D9D9" w:themeFill="background1" w:themeFillShade="D9"/>
            <w:vAlign w:val="center"/>
          </w:tcPr>
          <w:p w14:paraId="0524B2EB" w14:textId="77777777" w:rsidR="00CC5C8B" w:rsidRDefault="00CC5C8B" w:rsidP="009A329B">
            <w:pPr>
              <w:jc w:val="center"/>
              <w:rPr>
                <w:sz w:val="28"/>
                <w:szCs w:val="28"/>
              </w:rPr>
            </w:pPr>
          </w:p>
        </w:tc>
      </w:tr>
      <w:tr w:rsidR="00CC5C8B" w:rsidRPr="00D21502" w14:paraId="35BFA602" w14:textId="77777777" w:rsidTr="008C4954">
        <w:trPr>
          <w:trHeight w:val="397"/>
          <w:jc w:val="center"/>
        </w:trPr>
        <w:tc>
          <w:tcPr>
            <w:tcW w:w="15309" w:type="dxa"/>
            <w:gridSpan w:val="4"/>
            <w:vAlign w:val="center"/>
          </w:tcPr>
          <w:p w14:paraId="06CA832C" w14:textId="77777777" w:rsidR="00CC5C8B" w:rsidRPr="00CC5C8B" w:rsidRDefault="00CC5C8B" w:rsidP="00CC5C8B">
            <w:pPr>
              <w:rPr>
                <w:sz w:val="6"/>
                <w:szCs w:val="6"/>
              </w:rPr>
            </w:pPr>
          </w:p>
          <w:p w14:paraId="2216E9A8" w14:textId="77777777" w:rsidR="00CC5C8B" w:rsidRDefault="00CC5C8B" w:rsidP="00876CB3">
            <w:pPr>
              <w:spacing w:after="120"/>
              <w:rPr>
                <w:b/>
                <w:sz w:val="28"/>
                <w:szCs w:val="28"/>
              </w:rPr>
            </w:pPr>
            <w:r w:rsidRPr="00D21502">
              <w:rPr>
                <w:b/>
                <w:sz w:val="28"/>
                <w:szCs w:val="28"/>
              </w:rPr>
              <w:t>TELLING OUR STORY:</w:t>
            </w:r>
          </w:p>
          <w:p w14:paraId="31088C44" w14:textId="4199C938" w:rsidR="00735045" w:rsidRPr="00036039" w:rsidRDefault="00735045" w:rsidP="00876CB3">
            <w:pPr>
              <w:spacing w:after="120"/>
              <w:rPr>
                <w:sz w:val="24"/>
                <w:szCs w:val="24"/>
              </w:rPr>
            </w:pPr>
            <w:r w:rsidRPr="00036039">
              <w:rPr>
                <w:sz w:val="24"/>
                <w:szCs w:val="24"/>
              </w:rPr>
              <w:t>The arrow indicators are shown in black for this indicator to reflect that this measure is out of the control of local authorities; the best that LAs can do is to lobby for, and influence</w:t>
            </w:r>
            <w:r w:rsidR="001D00CD" w:rsidRPr="00036039">
              <w:rPr>
                <w:sz w:val="24"/>
                <w:szCs w:val="24"/>
              </w:rPr>
              <w:t>, access to broadband</w:t>
            </w:r>
            <w:r w:rsidRPr="00036039">
              <w:rPr>
                <w:sz w:val="24"/>
                <w:szCs w:val="24"/>
              </w:rPr>
              <w:t>.</w:t>
            </w:r>
          </w:p>
          <w:p w14:paraId="161E7DCE" w14:textId="3636C383" w:rsidR="00735045" w:rsidRPr="00036039" w:rsidRDefault="00735045" w:rsidP="00876CB3">
            <w:pPr>
              <w:spacing w:after="120"/>
              <w:rPr>
                <w:sz w:val="24"/>
                <w:szCs w:val="24"/>
              </w:rPr>
            </w:pPr>
            <w:r w:rsidRPr="00036039">
              <w:rPr>
                <w:sz w:val="24"/>
                <w:szCs w:val="24"/>
              </w:rPr>
              <w:t>While there has been improvement of broadband coverage over the six years for which w</w:t>
            </w:r>
            <w:r w:rsidR="001D00CD" w:rsidRPr="00036039">
              <w:rPr>
                <w:sz w:val="24"/>
                <w:szCs w:val="24"/>
              </w:rPr>
              <w:t>e have data, and increases in levels of acces have generally been more</w:t>
            </w:r>
            <w:r w:rsidRPr="00036039">
              <w:rPr>
                <w:sz w:val="24"/>
                <w:szCs w:val="24"/>
              </w:rPr>
              <w:t xml:space="preserve"> rapid in rural areas, the rankings still correlate strongly with the rurality of the local a</w:t>
            </w:r>
            <w:r w:rsidR="001D00CD" w:rsidRPr="00036039">
              <w:rPr>
                <w:sz w:val="24"/>
                <w:szCs w:val="24"/>
              </w:rPr>
              <w:t>uthorities to which they relate, with islands and remote rural areas ranking poorly.</w:t>
            </w:r>
          </w:p>
          <w:p w14:paraId="555EED3A" w14:textId="2AC01BFB" w:rsidR="00CC5C8B" w:rsidRPr="006805F1" w:rsidRDefault="00BF527C" w:rsidP="00876CB3">
            <w:pPr>
              <w:spacing w:after="120"/>
              <w:rPr>
                <w:rFonts w:cstheme="minorHAnsi"/>
                <w:sz w:val="24"/>
                <w:szCs w:val="24"/>
              </w:rPr>
            </w:pPr>
            <w:r w:rsidRPr="006805F1">
              <w:rPr>
                <w:rFonts w:cstheme="minorHAnsi"/>
                <w:sz w:val="24"/>
                <w:szCs w:val="24"/>
              </w:rPr>
              <w:t>Within Argyll and Bute, access to superfast broadband has increased from 4% (2013/14) to 83.9% (2019/20). This is the now the largest percentage point increase of all Scottish local authorities of 79.9%; the extent of the improvement achieved is not really reflected in our ranking 5th from 32 for this indicator. (Argyll and Bute has moved above Aberdeenshire which has 83% access to broadband speeds greater than 30Mbps.)</w:t>
            </w:r>
          </w:p>
        </w:tc>
      </w:tr>
      <w:tr w:rsidR="00CC5C8B" w:rsidRPr="00D21502" w14:paraId="58B3212A" w14:textId="77777777" w:rsidTr="008C4954">
        <w:trPr>
          <w:trHeight w:val="397"/>
          <w:jc w:val="center"/>
        </w:trPr>
        <w:tc>
          <w:tcPr>
            <w:tcW w:w="15309" w:type="dxa"/>
            <w:gridSpan w:val="4"/>
            <w:vAlign w:val="center"/>
          </w:tcPr>
          <w:p w14:paraId="14506FB3" w14:textId="77777777" w:rsidR="00CC5C8B" w:rsidRPr="00CC5C8B" w:rsidRDefault="00CC5C8B" w:rsidP="00876CB3">
            <w:pPr>
              <w:spacing w:after="120"/>
              <w:rPr>
                <w:sz w:val="6"/>
                <w:szCs w:val="6"/>
              </w:rPr>
            </w:pPr>
          </w:p>
          <w:p w14:paraId="6CD9D8C0" w14:textId="77777777" w:rsidR="00CC5C8B" w:rsidRDefault="00CC5C8B" w:rsidP="00876CB3">
            <w:pPr>
              <w:spacing w:after="120"/>
              <w:rPr>
                <w:b/>
                <w:sz w:val="28"/>
                <w:szCs w:val="28"/>
              </w:rPr>
            </w:pPr>
            <w:r>
              <w:rPr>
                <w:b/>
                <w:sz w:val="28"/>
                <w:szCs w:val="28"/>
              </w:rPr>
              <w:t>LOOKING FORWARD - EXPECTED IMPACT ON INDICATOR</w:t>
            </w:r>
          </w:p>
          <w:p w14:paraId="1FF36D41" w14:textId="37A07BA3" w:rsidR="00CC5C8B" w:rsidRPr="006805F1" w:rsidRDefault="00BF527C" w:rsidP="00876CB3">
            <w:pPr>
              <w:spacing w:after="120"/>
              <w:rPr>
                <w:rFonts w:cstheme="minorHAnsi"/>
                <w:sz w:val="24"/>
                <w:szCs w:val="24"/>
              </w:rPr>
            </w:pPr>
            <w:r w:rsidRPr="006805F1">
              <w:rPr>
                <w:rFonts w:cstheme="minorHAnsi"/>
                <w:sz w:val="24"/>
                <w:szCs w:val="24"/>
              </w:rPr>
              <w:t>With the court challenge now settled the R100 North Lot is moving to contract signature, SG expect</w:t>
            </w:r>
            <w:r w:rsidR="006805F1">
              <w:rPr>
                <w:rFonts w:cstheme="minorHAnsi"/>
                <w:sz w:val="24"/>
                <w:szCs w:val="24"/>
              </w:rPr>
              <w:t>s</w:t>
            </w:r>
            <w:r w:rsidRPr="006805F1">
              <w:rPr>
                <w:rFonts w:cstheme="minorHAnsi"/>
                <w:sz w:val="24"/>
                <w:szCs w:val="24"/>
              </w:rPr>
              <w:t xml:space="preserve"> this to be completed before the end of the year</w:t>
            </w:r>
            <w:r w:rsidR="006805F1">
              <w:rPr>
                <w:rFonts w:cstheme="minorHAnsi"/>
                <w:sz w:val="24"/>
                <w:szCs w:val="24"/>
              </w:rPr>
              <w:t>, a</w:t>
            </w:r>
            <w:r w:rsidRPr="006805F1">
              <w:rPr>
                <w:rFonts w:cstheme="minorHAnsi"/>
                <w:sz w:val="24"/>
                <w:szCs w:val="24"/>
              </w:rPr>
              <w:t>fter which the intervention area of premises to be connected as part of this programme will be released. It is expected that this will see a significant increase in the % of premises having Next Generation Access (NGA).</w:t>
            </w:r>
          </w:p>
        </w:tc>
      </w:tr>
    </w:tbl>
    <w:p w14:paraId="6CD3AA2E" w14:textId="64E4A013" w:rsidR="00336A54" w:rsidRDefault="00336A54"/>
    <w:p w14:paraId="31DDED6B" w14:textId="77777777" w:rsidR="00336A54" w:rsidRDefault="00336A54">
      <w:r>
        <w:br w:type="page"/>
      </w:r>
    </w:p>
    <w:tbl>
      <w:tblPr>
        <w:tblStyle w:val="TableGrid6"/>
        <w:tblW w:w="15309" w:type="dxa"/>
        <w:jc w:val="center"/>
        <w:tblLook w:val="04A0" w:firstRow="1" w:lastRow="0" w:firstColumn="1" w:lastColumn="0" w:noHBand="0" w:noVBand="1"/>
      </w:tblPr>
      <w:tblGrid>
        <w:gridCol w:w="5949"/>
        <w:gridCol w:w="1559"/>
        <w:gridCol w:w="6095"/>
        <w:gridCol w:w="1706"/>
      </w:tblGrid>
      <w:tr w:rsidR="00DD0C9D" w:rsidRPr="005D65E6" w14:paraId="40549DA7" w14:textId="77777777" w:rsidTr="00DD0C9D">
        <w:trPr>
          <w:trHeight w:val="794"/>
          <w:jc w:val="center"/>
        </w:trPr>
        <w:tc>
          <w:tcPr>
            <w:tcW w:w="15309" w:type="dxa"/>
            <w:gridSpan w:val="4"/>
            <w:vAlign w:val="center"/>
          </w:tcPr>
          <w:p w14:paraId="206AE80A" w14:textId="61A90030" w:rsidR="00DD0C9D" w:rsidRPr="005D65E6" w:rsidRDefault="00DD0C9D" w:rsidP="00473295">
            <w:pPr>
              <w:rPr>
                <w:b/>
                <w:sz w:val="32"/>
              </w:rPr>
            </w:pPr>
            <w:r w:rsidRPr="005D65E6">
              <w:rPr>
                <w:b/>
                <w:sz w:val="32"/>
              </w:rPr>
              <w:lastRenderedPageBreak/>
              <w:t xml:space="preserve">SERVICE: </w:t>
            </w:r>
            <w:r w:rsidR="00473295">
              <w:rPr>
                <w:b/>
                <w:sz w:val="32"/>
              </w:rPr>
              <w:t>DEVELOPMENT AND ECONOMIC GROWTH</w:t>
            </w:r>
          </w:p>
        </w:tc>
      </w:tr>
      <w:tr w:rsidR="0074491D" w:rsidRPr="00BC29AB" w14:paraId="31BD9175" w14:textId="77777777" w:rsidTr="004A7E36">
        <w:trPr>
          <w:trHeight w:val="567"/>
          <w:jc w:val="center"/>
        </w:trPr>
        <w:tc>
          <w:tcPr>
            <w:tcW w:w="15309" w:type="dxa"/>
            <w:gridSpan w:val="4"/>
            <w:vAlign w:val="center"/>
          </w:tcPr>
          <w:p w14:paraId="0930D73A" w14:textId="355228AF" w:rsidR="0074491D" w:rsidRPr="00BC29AB" w:rsidRDefault="00122929" w:rsidP="009A329B">
            <w:pPr>
              <w:pStyle w:val="Heading1"/>
              <w:spacing w:before="0"/>
              <w:outlineLvl w:val="0"/>
              <w:rPr>
                <w:b/>
                <w:color w:val="auto"/>
              </w:rPr>
            </w:pPr>
            <w:bookmarkStart w:id="50" w:name="_Toc56757728"/>
            <w:r w:rsidRPr="00BC29AB">
              <w:rPr>
                <w:b/>
                <w:color w:val="auto"/>
              </w:rPr>
              <w:t>INDICATOR REF: ENV5b - Cost of e</w:t>
            </w:r>
            <w:r w:rsidR="0074491D" w:rsidRPr="00BC29AB">
              <w:rPr>
                <w:b/>
                <w:color w:val="auto"/>
              </w:rPr>
              <w:t>nvironmental health per 1,000 population</w:t>
            </w:r>
            <w:bookmarkEnd w:id="50"/>
            <w:r w:rsidR="00CA7DF1" w:rsidRPr="00BC29AB">
              <w:rPr>
                <w:b/>
                <w:color w:val="auto"/>
              </w:rPr>
              <w:t xml:space="preserve"> </w:t>
            </w:r>
          </w:p>
        </w:tc>
      </w:tr>
      <w:tr w:rsidR="00E06E41" w:rsidRPr="0074491D" w14:paraId="23F8E9AB" w14:textId="77777777" w:rsidTr="004A7E36">
        <w:trPr>
          <w:trHeight w:val="454"/>
          <w:jc w:val="center"/>
        </w:trPr>
        <w:tc>
          <w:tcPr>
            <w:tcW w:w="15309" w:type="dxa"/>
            <w:gridSpan w:val="4"/>
            <w:vAlign w:val="center"/>
          </w:tcPr>
          <w:p w14:paraId="5081F09F" w14:textId="6C4F90F7" w:rsidR="00E06E41" w:rsidRPr="0052702B" w:rsidRDefault="0052702B" w:rsidP="00ED6185">
            <w:pPr>
              <w:jc w:val="center"/>
              <w:rPr>
                <w:b/>
                <w:color w:val="0070C0"/>
                <w:sz w:val="28"/>
                <w:szCs w:val="28"/>
              </w:rPr>
            </w:pPr>
            <w:r>
              <w:rPr>
                <w:b/>
                <w:color w:val="0070C0"/>
                <w:sz w:val="28"/>
                <w:szCs w:val="28"/>
              </w:rPr>
              <w:t xml:space="preserve">Performance Range: </w:t>
            </w:r>
            <w:r w:rsidR="00F27853">
              <w:rPr>
                <w:b/>
                <w:color w:val="0070C0"/>
                <w:sz w:val="28"/>
                <w:szCs w:val="28"/>
              </w:rPr>
              <w:t>£</w:t>
            </w:r>
            <w:r w:rsidR="00ED6185">
              <w:rPr>
                <w:b/>
                <w:color w:val="0070C0"/>
                <w:sz w:val="28"/>
                <w:szCs w:val="28"/>
              </w:rPr>
              <w:t>4,995</w:t>
            </w:r>
            <w:r w:rsidR="00F27853">
              <w:rPr>
                <w:b/>
                <w:color w:val="0070C0"/>
                <w:sz w:val="28"/>
                <w:szCs w:val="28"/>
              </w:rPr>
              <w:t xml:space="preserve"> to </w:t>
            </w:r>
            <w:r w:rsidR="00BE08CC">
              <w:rPr>
                <w:b/>
                <w:color w:val="0070C0"/>
                <w:sz w:val="28"/>
                <w:szCs w:val="28"/>
              </w:rPr>
              <w:t>£</w:t>
            </w:r>
            <w:r w:rsidR="00ED6185">
              <w:rPr>
                <w:b/>
                <w:color w:val="0070C0"/>
                <w:sz w:val="28"/>
                <w:szCs w:val="28"/>
              </w:rPr>
              <w:t>30,274</w:t>
            </w:r>
            <w:r w:rsidR="000E1D37">
              <w:rPr>
                <w:b/>
                <w:color w:val="0070C0"/>
                <w:sz w:val="28"/>
                <w:szCs w:val="28"/>
              </w:rPr>
              <w:t xml:space="preserve"> </w:t>
            </w:r>
            <w:r w:rsidR="00BE08CC">
              <w:rPr>
                <w:b/>
                <w:color w:val="0070C0"/>
                <w:sz w:val="28"/>
                <w:szCs w:val="28"/>
              </w:rPr>
              <w:t xml:space="preserve"> </w:t>
            </w:r>
            <w:r w:rsidR="00BE08CC" w:rsidRPr="00BE08CC">
              <w:rPr>
                <w:b/>
                <w:color w:val="0070C0"/>
                <w:sz w:val="28"/>
                <w:szCs w:val="28"/>
              </w:rPr>
              <w:t>(Lowest is best)</w:t>
            </w:r>
          </w:p>
        </w:tc>
      </w:tr>
      <w:tr w:rsidR="0074491D" w:rsidRPr="0074491D" w14:paraId="68165040" w14:textId="77777777" w:rsidTr="004A7E36">
        <w:trPr>
          <w:trHeight w:val="397"/>
          <w:jc w:val="center"/>
        </w:trPr>
        <w:tc>
          <w:tcPr>
            <w:tcW w:w="7508" w:type="dxa"/>
            <w:gridSpan w:val="2"/>
            <w:shd w:val="clear" w:color="auto" w:fill="D9E2F3" w:themeFill="accent5" w:themeFillTint="33"/>
            <w:vAlign w:val="center"/>
          </w:tcPr>
          <w:p w14:paraId="1F28F9CC" w14:textId="77777777" w:rsidR="0074491D" w:rsidRPr="0074491D" w:rsidRDefault="0074491D" w:rsidP="009A329B">
            <w:pPr>
              <w:jc w:val="center"/>
              <w:rPr>
                <w:b/>
                <w:sz w:val="28"/>
                <w:szCs w:val="28"/>
              </w:rPr>
            </w:pPr>
            <w:r w:rsidRPr="0074491D">
              <w:rPr>
                <w:b/>
                <w:sz w:val="28"/>
                <w:szCs w:val="28"/>
              </w:rPr>
              <w:t>ARGYLL AND BUTE</w:t>
            </w:r>
          </w:p>
        </w:tc>
        <w:tc>
          <w:tcPr>
            <w:tcW w:w="7801" w:type="dxa"/>
            <w:gridSpan w:val="2"/>
            <w:shd w:val="clear" w:color="auto" w:fill="D9E2F3" w:themeFill="accent5" w:themeFillTint="33"/>
            <w:vAlign w:val="center"/>
          </w:tcPr>
          <w:p w14:paraId="0203D530" w14:textId="77777777" w:rsidR="0074491D" w:rsidRPr="0074491D" w:rsidRDefault="0074491D" w:rsidP="009A329B">
            <w:pPr>
              <w:jc w:val="center"/>
              <w:rPr>
                <w:b/>
                <w:sz w:val="28"/>
                <w:szCs w:val="28"/>
              </w:rPr>
            </w:pPr>
            <w:r w:rsidRPr="0074491D">
              <w:rPr>
                <w:b/>
                <w:sz w:val="28"/>
                <w:szCs w:val="28"/>
              </w:rPr>
              <w:t>SCOTLAND</w:t>
            </w:r>
          </w:p>
        </w:tc>
      </w:tr>
      <w:tr w:rsidR="0074491D" w:rsidRPr="0074491D" w14:paraId="27AF1D73" w14:textId="77777777" w:rsidTr="004A7E36">
        <w:trPr>
          <w:trHeight w:val="397"/>
          <w:jc w:val="center"/>
        </w:trPr>
        <w:tc>
          <w:tcPr>
            <w:tcW w:w="7508" w:type="dxa"/>
            <w:gridSpan w:val="2"/>
            <w:vAlign w:val="center"/>
          </w:tcPr>
          <w:p w14:paraId="3B11A1D6" w14:textId="43B62FAF" w:rsidR="0074491D" w:rsidRPr="00721B18" w:rsidRDefault="000E1D37" w:rsidP="00ED6185">
            <w:pPr>
              <w:jc w:val="center"/>
              <w:rPr>
                <w:b/>
                <w:sz w:val="28"/>
                <w:szCs w:val="28"/>
              </w:rPr>
            </w:pPr>
            <w:r>
              <w:rPr>
                <w:b/>
                <w:sz w:val="28"/>
                <w:szCs w:val="28"/>
              </w:rPr>
              <w:t>£</w:t>
            </w:r>
            <w:r w:rsidR="00ED6185">
              <w:rPr>
                <w:b/>
                <w:sz w:val="28"/>
                <w:szCs w:val="28"/>
              </w:rPr>
              <w:t>27,011</w:t>
            </w:r>
          </w:p>
        </w:tc>
        <w:tc>
          <w:tcPr>
            <w:tcW w:w="7801" w:type="dxa"/>
            <w:gridSpan w:val="2"/>
            <w:vAlign w:val="center"/>
          </w:tcPr>
          <w:p w14:paraId="2E7A5F84" w14:textId="743E4756" w:rsidR="0074491D" w:rsidRPr="0074491D" w:rsidRDefault="000E1D37" w:rsidP="00ED6185">
            <w:pPr>
              <w:jc w:val="center"/>
              <w:rPr>
                <w:b/>
                <w:sz w:val="28"/>
                <w:szCs w:val="28"/>
              </w:rPr>
            </w:pPr>
            <w:r>
              <w:rPr>
                <w:b/>
                <w:sz w:val="28"/>
                <w:szCs w:val="28"/>
              </w:rPr>
              <w:t>£</w:t>
            </w:r>
            <w:r w:rsidR="00ED6185">
              <w:rPr>
                <w:b/>
                <w:sz w:val="28"/>
                <w:szCs w:val="28"/>
              </w:rPr>
              <w:t>14,869</w:t>
            </w:r>
          </w:p>
        </w:tc>
      </w:tr>
      <w:tr w:rsidR="007D4A55" w:rsidRPr="0074491D" w14:paraId="0F5A89F2" w14:textId="77777777" w:rsidTr="004A7E36">
        <w:trPr>
          <w:trHeight w:val="397"/>
          <w:jc w:val="center"/>
        </w:trPr>
        <w:tc>
          <w:tcPr>
            <w:tcW w:w="5949" w:type="dxa"/>
            <w:vAlign w:val="center"/>
          </w:tcPr>
          <w:p w14:paraId="04099E19" w14:textId="62E22573" w:rsidR="007D4A55" w:rsidRPr="00721B18" w:rsidRDefault="007D4A55" w:rsidP="000E1D37">
            <w:pPr>
              <w:jc w:val="center"/>
              <w:rPr>
                <w:b/>
                <w:sz w:val="28"/>
                <w:szCs w:val="28"/>
              </w:rPr>
            </w:pPr>
            <w:r w:rsidRPr="00721B18">
              <w:rPr>
                <w:b/>
                <w:sz w:val="28"/>
                <w:szCs w:val="28"/>
              </w:rPr>
              <w:t>CHANGE 201</w:t>
            </w:r>
            <w:r w:rsidR="000E1D37">
              <w:rPr>
                <w:b/>
                <w:sz w:val="28"/>
                <w:szCs w:val="28"/>
              </w:rPr>
              <w:t>7</w:t>
            </w:r>
            <w:r w:rsidRPr="00721B18">
              <w:rPr>
                <w:b/>
                <w:sz w:val="28"/>
                <w:szCs w:val="28"/>
              </w:rPr>
              <w:t>/1</w:t>
            </w:r>
            <w:r w:rsidR="000E1D37">
              <w:rPr>
                <w:b/>
                <w:sz w:val="28"/>
                <w:szCs w:val="28"/>
              </w:rPr>
              <w:t>8</w:t>
            </w:r>
            <w:r w:rsidRPr="00721B18">
              <w:rPr>
                <w:b/>
                <w:sz w:val="28"/>
                <w:szCs w:val="28"/>
              </w:rPr>
              <w:t xml:space="preserve"> TO </w:t>
            </w:r>
            <w:r>
              <w:rPr>
                <w:b/>
                <w:sz w:val="28"/>
                <w:szCs w:val="28"/>
              </w:rPr>
              <w:t>201</w:t>
            </w:r>
            <w:r w:rsidR="000E1D37">
              <w:rPr>
                <w:b/>
                <w:sz w:val="28"/>
                <w:szCs w:val="28"/>
              </w:rPr>
              <w:t>8</w:t>
            </w:r>
            <w:r>
              <w:rPr>
                <w:b/>
                <w:sz w:val="28"/>
                <w:szCs w:val="28"/>
              </w:rPr>
              <w:t>/1</w:t>
            </w:r>
            <w:r w:rsidR="000E1D37">
              <w:rPr>
                <w:b/>
                <w:sz w:val="28"/>
                <w:szCs w:val="28"/>
              </w:rPr>
              <w:t>9</w:t>
            </w:r>
          </w:p>
        </w:tc>
        <w:tc>
          <w:tcPr>
            <w:tcW w:w="1559" w:type="dxa"/>
            <w:vAlign w:val="center"/>
          </w:tcPr>
          <w:p w14:paraId="0002C5FB" w14:textId="4DD649E5" w:rsidR="007D4A55" w:rsidRPr="00721B18" w:rsidRDefault="00ED6185" w:rsidP="009A329B">
            <w:pPr>
              <w:jc w:val="center"/>
              <w:rPr>
                <w:b/>
                <w:sz w:val="28"/>
                <w:szCs w:val="28"/>
              </w:rPr>
            </w:pPr>
            <w:r>
              <w:rPr>
                <w:b/>
                <w:sz w:val="28"/>
                <w:szCs w:val="28"/>
              </w:rPr>
              <w:t xml:space="preserve">-8.50% </w:t>
            </w:r>
            <w:r w:rsidRPr="00EC5E64">
              <w:rPr>
                <w:b/>
                <w:color w:val="00B050"/>
                <w:sz w:val="28"/>
                <w:szCs w:val="28"/>
              </w:rPr>
              <w:sym w:font="Wingdings" w:char="F0EA"/>
            </w:r>
          </w:p>
        </w:tc>
        <w:tc>
          <w:tcPr>
            <w:tcW w:w="6095" w:type="dxa"/>
            <w:vAlign w:val="center"/>
          </w:tcPr>
          <w:p w14:paraId="0571D7B3" w14:textId="22E39A73" w:rsidR="007D4A55" w:rsidRPr="0074491D" w:rsidRDefault="007D4A55" w:rsidP="000E1D37">
            <w:pPr>
              <w:jc w:val="center"/>
              <w:rPr>
                <w:sz w:val="28"/>
                <w:szCs w:val="28"/>
              </w:rPr>
            </w:pPr>
            <w:r>
              <w:rPr>
                <w:sz w:val="28"/>
                <w:szCs w:val="28"/>
              </w:rPr>
              <w:t>CHANGE 201</w:t>
            </w:r>
            <w:r w:rsidR="000E1D37">
              <w:rPr>
                <w:sz w:val="28"/>
                <w:szCs w:val="28"/>
              </w:rPr>
              <w:t>7</w:t>
            </w:r>
            <w:r>
              <w:rPr>
                <w:sz w:val="28"/>
                <w:szCs w:val="28"/>
              </w:rPr>
              <w:t>/1</w:t>
            </w:r>
            <w:r w:rsidR="000E1D37">
              <w:rPr>
                <w:sz w:val="28"/>
                <w:szCs w:val="28"/>
              </w:rPr>
              <w:t>8</w:t>
            </w:r>
            <w:r>
              <w:rPr>
                <w:sz w:val="28"/>
                <w:szCs w:val="28"/>
              </w:rPr>
              <w:t xml:space="preserve"> TO 201</w:t>
            </w:r>
            <w:r w:rsidR="000E1D37">
              <w:rPr>
                <w:sz w:val="28"/>
                <w:szCs w:val="28"/>
              </w:rPr>
              <w:t>8</w:t>
            </w:r>
            <w:r>
              <w:rPr>
                <w:sz w:val="28"/>
                <w:szCs w:val="28"/>
              </w:rPr>
              <w:t>/1</w:t>
            </w:r>
            <w:r w:rsidR="000E1D37">
              <w:rPr>
                <w:sz w:val="28"/>
                <w:szCs w:val="28"/>
              </w:rPr>
              <w:t>9</w:t>
            </w:r>
          </w:p>
        </w:tc>
        <w:tc>
          <w:tcPr>
            <w:tcW w:w="1706" w:type="dxa"/>
            <w:vAlign w:val="center"/>
          </w:tcPr>
          <w:p w14:paraId="7B6C9344" w14:textId="01D61C28" w:rsidR="007D4A55" w:rsidRPr="0074491D" w:rsidRDefault="00ED6185" w:rsidP="009A329B">
            <w:pPr>
              <w:jc w:val="center"/>
              <w:rPr>
                <w:sz w:val="28"/>
                <w:szCs w:val="28"/>
              </w:rPr>
            </w:pPr>
            <w:r>
              <w:rPr>
                <w:sz w:val="28"/>
                <w:szCs w:val="28"/>
              </w:rPr>
              <w:t>-5.83</w:t>
            </w:r>
            <w:r w:rsidR="000E1D37">
              <w:rPr>
                <w:sz w:val="28"/>
                <w:szCs w:val="28"/>
              </w:rPr>
              <w:t>%</w:t>
            </w:r>
            <w:r w:rsidR="008E5FE9">
              <w:rPr>
                <w:sz w:val="28"/>
                <w:szCs w:val="28"/>
              </w:rPr>
              <w:t xml:space="preserve"> </w:t>
            </w:r>
            <w:r w:rsidR="008E5FE9" w:rsidRPr="00EC5E64">
              <w:rPr>
                <w:b/>
                <w:color w:val="00B050"/>
                <w:sz w:val="28"/>
                <w:szCs w:val="28"/>
              </w:rPr>
              <w:sym w:font="Wingdings" w:char="F0EA"/>
            </w:r>
            <w:r w:rsidR="008E5FE9">
              <w:rPr>
                <w:b/>
                <w:color w:val="00B050"/>
                <w:sz w:val="28"/>
                <w:szCs w:val="28"/>
              </w:rPr>
              <w:t xml:space="preserve"> </w:t>
            </w:r>
          </w:p>
        </w:tc>
      </w:tr>
      <w:tr w:rsidR="007D4A55" w:rsidRPr="0074491D" w14:paraId="5A7394EA" w14:textId="77777777" w:rsidTr="004A7E36">
        <w:trPr>
          <w:trHeight w:val="397"/>
          <w:jc w:val="center"/>
        </w:trPr>
        <w:tc>
          <w:tcPr>
            <w:tcW w:w="5949" w:type="dxa"/>
            <w:vAlign w:val="center"/>
          </w:tcPr>
          <w:p w14:paraId="1F6AB533" w14:textId="1E2B90CB" w:rsidR="007D4A55" w:rsidRPr="00721B18" w:rsidRDefault="007D4A55" w:rsidP="000E1D37">
            <w:pPr>
              <w:jc w:val="center"/>
              <w:rPr>
                <w:b/>
                <w:sz w:val="28"/>
                <w:szCs w:val="28"/>
              </w:rPr>
            </w:pPr>
            <w:r w:rsidRPr="00721B18">
              <w:rPr>
                <w:b/>
                <w:sz w:val="28"/>
                <w:szCs w:val="28"/>
              </w:rPr>
              <w:t xml:space="preserve">CHANGE BASE YEAR TO </w:t>
            </w:r>
            <w:r>
              <w:rPr>
                <w:b/>
                <w:sz w:val="28"/>
                <w:szCs w:val="28"/>
              </w:rPr>
              <w:t>201</w:t>
            </w:r>
            <w:r w:rsidR="000E1D37">
              <w:rPr>
                <w:b/>
                <w:sz w:val="28"/>
                <w:szCs w:val="28"/>
              </w:rPr>
              <w:t>8</w:t>
            </w:r>
            <w:r>
              <w:rPr>
                <w:b/>
                <w:sz w:val="28"/>
                <w:szCs w:val="28"/>
              </w:rPr>
              <w:t>/1</w:t>
            </w:r>
            <w:r w:rsidR="000E1D37">
              <w:rPr>
                <w:b/>
                <w:sz w:val="28"/>
                <w:szCs w:val="28"/>
              </w:rPr>
              <w:t>9</w:t>
            </w:r>
          </w:p>
        </w:tc>
        <w:tc>
          <w:tcPr>
            <w:tcW w:w="1559" w:type="dxa"/>
            <w:vAlign w:val="center"/>
          </w:tcPr>
          <w:p w14:paraId="5BB6266A" w14:textId="264D8D2A" w:rsidR="007D4A55" w:rsidRPr="00721B18" w:rsidRDefault="00ED6185" w:rsidP="009A329B">
            <w:pPr>
              <w:jc w:val="center"/>
              <w:rPr>
                <w:b/>
                <w:sz w:val="28"/>
                <w:szCs w:val="28"/>
              </w:rPr>
            </w:pPr>
            <w:r>
              <w:rPr>
                <w:b/>
                <w:sz w:val="28"/>
                <w:szCs w:val="28"/>
              </w:rPr>
              <w:t xml:space="preserve">-5.52% </w:t>
            </w:r>
            <w:r w:rsidRPr="00EC5E64">
              <w:rPr>
                <w:b/>
                <w:color w:val="00B050"/>
                <w:sz w:val="28"/>
                <w:szCs w:val="28"/>
              </w:rPr>
              <w:sym w:font="Wingdings" w:char="F0EA"/>
            </w:r>
          </w:p>
        </w:tc>
        <w:tc>
          <w:tcPr>
            <w:tcW w:w="6095" w:type="dxa"/>
            <w:tcBorders>
              <w:bottom w:val="single" w:sz="4" w:space="0" w:color="auto"/>
            </w:tcBorders>
            <w:vAlign w:val="center"/>
          </w:tcPr>
          <w:p w14:paraId="75EC95E2" w14:textId="18190E11" w:rsidR="007D4A55" w:rsidRDefault="007D4A55" w:rsidP="000E1D37">
            <w:pPr>
              <w:jc w:val="center"/>
              <w:rPr>
                <w:sz w:val="28"/>
                <w:szCs w:val="28"/>
              </w:rPr>
            </w:pPr>
            <w:r>
              <w:rPr>
                <w:sz w:val="28"/>
                <w:szCs w:val="28"/>
              </w:rPr>
              <w:t>CHANGE BASE YEAR TO 201</w:t>
            </w:r>
            <w:r w:rsidR="000E1D37">
              <w:rPr>
                <w:sz w:val="28"/>
                <w:szCs w:val="28"/>
              </w:rPr>
              <w:t>8</w:t>
            </w:r>
            <w:r>
              <w:rPr>
                <w:sz w:val="28"/>
                <w:szCs w:val="28"/>
              </w:rPr>
              <w:t>/1</w:t>
            </w:r>
            <w:r w:rsidR="000E1D37">
              <w:rPr>
                <w:sz w:val="28"/>
                <w:szCs w:val="28"/>
              </w:rPr>
              <w:t>9</w:t>
            </w:r>
          </w:p>
        </w:tc>
        <w:tc>
          <w:tcPr>
            <w:tcW w:w="1706" w:type="dxa"/>
            <w:tcBorders>
              <w:bottom w:val="single" w:sz="4" w:space="0" w:color="auto"/>
            </w:tcBorders>
            <w:vAlign w:val="center"/>
          </w:tcPr>
          <w:p w14:paraId="103EF617" w14:textId="1443A322" w:rsidR="007D4A55" w:rsidRDefault="00ED6185" w:rsidP="008E5FE9">
            <w:pPr>
              <w:jc w:val="center"/>
              <w:rPr>
                <w:sz w:val="28"/>
                <w:szCs w:val="28"/>
              </w:rPr>
            </w:pPr>
            <w:r>
              <w:rPr>
                <w:sz w:val="28"/>
                <w:szCs w:val="28"/>
              </w:rPr>
              <w:t>-17.18</w:t>
            </w:r>
            <w:r w:rsidR="000E1D37">
              <w:rPr>
                <w:sz w:val="28"/>
                <w:szCs w:val="28"/>
              </w:rPr>
              <w:t>%</w:t>
            </w:r>
            <w:r w:rsidR="008E5FE9">
              <w:rPr>
                <w:sz w:val="28"/>
                <w:szCs w:val="28"/>
              </w:rPr>
              <w:t xml:space="preserve"> </w:t>
            </w:r>
            <w:r w:rsidR="008E5FE9" w:rsidRPr="00C14931">
              <w:rPr>
                <w:b/>
                <w:color w:val="FF0000"/>
                <w:sz w:val="28"/>
                <w:szCs w:val="28"/>
              </w:rPr>
              <w:sym w:font="Wingdings" w:char="F0E9"/>
            </w:r>
          </w:p>
        </w:tc>
      </w:tr>
      <w:tr w:rsidR="00721B18" w:rsidRPr="0074491D" w14:paraId="6DF3A4FD" w14:textId="77777777" w:rsidTr="00B318EA">
        <w:trPr>
          <w:trHeight w:val="397"/>
          <w:jc w:val="center"/>
        </w:trPr>
        <w:tc>
          <w:tcPr>
            <w:tcW w:w="7508" w:type="dxa"/>
            <w:gridSpan w:val="2"/>
            <w:tcBorders>
              <w:bottom w:val="single" w:sz="4" w:space="0" w:color="auto"/>
            </w:tcBorders>
            <w:vAlign w:val="center"/>
          </w:tcPr>
          <w:p w14:paraId="1F24B691" w14:textId="2A830C18" w:rsidR="00721B18" w:rsidRPr="00721B18" w:rsidRDefault="00721B18" w:rsidP="00ED6185">
            <w:pPr>
              <w:jc w:val="center"/>
              <w:rPr>
                <w:b/>
                <w:sz w:val="28"/>
                <w:szCs w:val="28"/>
              </w:rPr>
            </w:pPr>
            <w:r w:rsidRPr="00721B18">
              <w:rPr>
                <w:b/>
                <w:sz w:val="28"/>
                <w:szCs w:val="28"/>
              </w:rPr>
              <w:t>RANK POSITION</w:t>
            </w:r>
            <w:r w:rsidRPr="00ED6185">
              <w:rPr>
                <w:b/>
                <w:sz w:val="28"/>
                <w:szCs w:val="28"/>
              </w:rPr>
              <w:t>:</w:t>
            </w:r>
            <w:r w:rsidR="00F13F21" w:rsidRPr="00ED6185">
              <w:rPr>
                <w:b/>
                <w:sz w:val="28"/>
                <w:szCs w:val="28"/>
              </w:rPr>
              <w:t xml:space="preserve"> </w:t>
            </w:r>
            <w:r w:rsidR="00ED6185" w:rsidRPr="00ED6185">
              <w:rPr>
                <w:b/>
                <w:sz w:val="28"/>
                <w:szCs w:val="28"/>
              </w:rPr>
              <w:t>31</w:t>
            </w:r>
            <w:r w:rsidR="00F13F21" w:rsidRPr="00ED6185">
              <w:rPr>
                <w:b/>
                <w:sz w:val="28"/>
                <w:szCs w:val="28"/>
              </w:rPr>
              <w:t xml:space="preserve">   </w:t>
            </w:r>
            <w:r w:rsidRPr="00721B18">
              <w:rPr>
                <w:b/>
                <w:sz w:val="28"/>
                <w:szCs w:val="28"/>
              </w:rPr>
              <w:t xml:space="preserve">RANK MOVEMENT: </w:t>
            </w:r>
            <w:r w:rsidR="00ED6185">
              <w:rPr>
                <w:b/>
                <w:sz w:val="28"/>
                <w:szCs w:val="28"/>
              </w:rPr>
              <w:t xml:space="preserve">0 </w:t>
            </w:r>
            <w:r w:rsidR="00ED6185" w:rsidRPr="00A83E3B">
              <w:rPr>
                <w:b/>
                <w:color w:val="0070C0"/>
                <w:sz w:val="28"/>
                <w:szCs w:val="28"/>
              </w:rPr>
              <w:sym w:font="Wingdings" w:char="F0E8"/>
            </w:r>
          </w:p>
        </w:tc>
        <w:tc>
          <w:tcPr>
            <w:tcW w:w="7801" w:type="dxa"/>
            <w:gridSpan w:val="2"/>
            <w:tcBorders>
              <w:bottom w:val="nil"/>
            </w:tcBorders>
            <w:shd w:val="clear" w:color="auto" w:fill="D9D9D9" w:themeFill="background1" w:themeFillShade="D9"/>
            <w:vAlign w:val="center"/>
          </w:tcPr>
          <w:p w14:paraId="5E7C9F2F" w14:textId="77777777" w:rsidR="00721B18" w:rsidRPr="0074491D" w:rsidRDefault="00721B18" w:rsidP="009A329B">
            <w:pPr>
              <w:rPr>
                <w:sz w:val="28"/>
                <w:szCs w:val="28"/>
              </w:rPr>
            </w:pPr>
          </w:p>
        </w:tc>
      </w:tr>
      <w:tr w:rsidR="00BC29AB" w:rsidRPr="0074491D" w14:paraId="345EFB22" w14:textId="77777777" w:rsidTr="00B318EA">
        <w:trPr>
          <w:trHeight w:val="397"/>
          <w:jc w:val="center"/>
        </w:trPr>
        <w:tc>
          <w:tcPr>
            <w:tcW w:w="7508" w:type="dxa"/>
            <w:gridSpan w:val="2"/>
            <w:tcBorders>
              <w:bottom w:val="nil"/>
            </w:tcBorders>
            <w:shd w:val="clear" w:color="auto" w:fill="D9E2F3" w:themeFill="accent5" w:themeFillTint="33"/>
            <w:vAlign w:val="center"/>
          </w:tcPr>
          <w:p w14:paraId="370D72B9" w14:textId="796E8706" w:rsidR="00BC29AB" w:rsidRPr="00721B18" w:rsidRDefault="00BC29AB" w:rsidP="000E1D37">
            <w:pPr>
              <w:jc w:val="center"/>
              <w:rPr>
                <w:b/>
                <w:sz w:val="28"/>
                <w:szCs w:val="28"/>
              </w:rPr>
            </w:pPr>
            <w:r>
              <w:rPr>
                <w:b/>
                <w:sz w:val="28"/>
                <w:szCs w:val="28"/>
              </w:rPr>
              <w:t>FAMILY GROUP RANKIN</w:t>
            </w:r>
            <w:r w:rsidR="004A7E36">
              <w:rPr>
                <w:b/>
                <w:sz w:val="28"/>
                <w:szCs w:val="28"/>
              </w:rPr>
              <w:t>G 201</w:t>
            </w:r>
            <w:r w:rsidR="000E1D37">
              <w:rPr>
                <w:b/>
                <w:sz w:val="28"/>
                <w:szCs w:val="28"/>
              </w:rPr>
              <w:t>8</w:t>
            </w:r>
            <w:r w:rsidR="004A7E36">
              <w:rPr>
                <w:b/>
                <w:sz w:val="28"/>
                <w:szCs w:val="28"/>
              </w:rPr>
              <w:t>/1</w:t>
            </w:r>
            <w:r w:rsidR="000E1D37">
              <w:rPr>
                <w:b/>
                <w:sz w:val="28"/>
                <w:szCs w:val="28"/>
              </w:rPr>
              <w:t>9</w:t>
            </w:r>
          </w:p>
        </w:tc>
        <w:tc>
          <w:tcPr>
            <w:tcW w:w="7801" w:type="dxa"/>
            <w:gridSpan w:val="2"/>
            <w:tcBorders>
              <w:top w:val="nil"/>
              <w:bottom w:val="nil"/>
            </w:tcBorders>
            <w:shd w:val="clear" w:color="auto" w:fill="D9D9D9" w:themeFill="background1" w:themeFillShade="D9"/>
            <w:vAlign w:val="center"/>
          </w:tcPr>
          <w:p w14:paraId="19F703F1" w14:textId="77777777" w:rsidR="00BC29AB" w:rsidRPr="0074491D" w:rsidRDefault="00BC29AB" w:rsidP="009A329B">
            <w:pPr>
              <w:rPr>
                <w:sz w:val="28"/>
                <w:szCs w:val="28"/>
              </w:rPr>
            </w:pPr>
          </w:p>
        </w:tc>
      </w:tr>
      <w:tr w:rsidR="004A7E36" w:rsidRPr="0074491D" w14:paraId="5C161F71" w14:textId="77777777" w:rsidTr="00B318EA">
        <w:trPr>
          <w:trHeight w:val="397"/>
          <w:jc w:val="center"/>
        </w:trPr>
        <w:tc>
          <w:tcPr>
            <w:tcW w:w="7508" w:type="dxa"/>
            <w:gridSpan w:val="2"/>
            <w:tcBorders>
              <w:top w:val="nil"/>
            </w:tcBorders>
            <w:shd w:val="clear" w:color="auto" w:fill="D9E2F3" w:themeFill="accent5" w:themeFillTint="33"/>
            <w:vAlign w:val="center"/>
          </w:tcPr>
          <w:p w14:paraId="3AD5253D" w14:textId="0073C44C" w:rsidR="004A7E36" w:rsidRDefault="004A7E36" w:rsidP="00ED6185">
            <w:pPr>
              <w:jc w:val="center"/>
              <w:rPr>
                <w:b/>
                <w:sz w:val="28"/>
                <w:szCs w:val="28"/>
              </w:rPr>
            </w:pPr>
            <w:r>
              <w:rPr>
                <w:b/>
                <w:sz w:val="28"/>
                <w:szCs w:val="28"/>
              </w:rPr>
              <w:t>RANK POSITION:</w:t>
            </w:r>
            <w:r w:rsidR="001A02B1">
              <w:rPr>
                <w:b/>
                <w:sz w:val="28"/>
                <w:szCs w:val="28"/>
              </w:rPr>
              <w:t xml:space="preserve"> </w:t>
            </w:r>
            <w:r w:rsidR="00ED6185">
              <w:rPr>
                <w:b/>
                <w:sz w:val="28"/>
                <w:szCs w:val="28"/>
              </w:rPr>
              <w:t>7</w:t>
            </w:r>
            <w:r w:rsidR="001A02B1">
              <w:rPr>
                <w:b/>
                <w:sz w:val="28"/>
                <w:szCs w:val="28"/>
              </w:rPr>
              <w:t xml:space="preserve">  </w:t>
            </w:r>
            <w:r>
              <w:rPr>
                <w:b/>
                <w:sz w:val="28"/>
                <w:szCs w:val="28"/>
              </w:rPr>
              <w:t xml:space="preserve">RANK MOVEMENT: </w:t>
            </w:r>
            <w:r w:rsidR="00ED6185">
              <w:rPr>
                <w:b/>
                <w:sz w:val="28"/>
                <w:szCs w:val="28"/>
              </w:rPr>
              <w:t xml:space="preserve">0 </w:t>
            </w:r>
            <w:r w:rsidR="00ED6185" w:rsidRPr="00A83E3B">
              <w:rPr>
                <w:b/>
                <w:color w:val="0070C0"/>
                <w:sz w:val="28"/>
                <w:szCs w:val="28"/>
              </w:rPr>
              <w:sym w:font="Wingdings" w:char="F0E8"/>
            </w:r>
          </w:p>
        </w:tc>
        <w:tc>
          <w:tcPr>
            <w:tcW w:w="7801" w:type="dxa"/>
            <w:gridSpan w:val="2"/>
            <w:tcBorders>
              <w:top w:val="nil"/>
            </w:tcBorders>
            <w:shd w:val="clear" w:color="auto" w:fill="D9D9D9" w:themeFill="background1" w:themeFillShade="D9"/>
            <w:vAlign w:val="center"/>
          </w:tcPr>
          <w:p w14:paraId="1E025F7E" w14:textId="77777777" w:rsidR="004A7E36" w:rsidRPr="0074491D" w:rsidRDefault="004A7E36" w:rsidP="009A329B">
            <w:pPr>
              <w:rPr>
                <w:sz w:val="28"/>
                <w:szCs w:val="28"/>
              </w:rPr>
            </w:pPr>
          </w:p>
        </w:tc>
      </w:tr>
      <w:tr w:rsidR="0074491D" w:rsidRPr="0074491D" w14:paraId="3F1CC346" w14:textId="77777777" w:rsidTr="004F4EA3">
        <w:trPr>
          <w:jc w:val="center"/>
        </w:trPr>
        <w:tc>
          <w:tcPr>
            <w:tcW w:w="15309" w:type="dxa"/>
            <w:gridSpan w:val="4"/>
          </w:tcPr>
          <w:p w14:paraId="57C11481" w14:textId="77777777" w:rsidR="004A7E36" w:rsidRPr="004A7E36" w:rsidRDefault="004A7E36" w:rsidP="009A329B">
            <w:pPr>
              <w:rPr>
                <w:sz w:val="6"/>
                <w:szCs w:val="6"/>
              </w:rPr>
            </w:pPr>
          </w:p>
          <w:p w14:paraId="21851CAC" w14:textId="5E0AD292" w:rsidR="0074491D" w:rsidRPr="002A3086" w:rsidRDefault="0074491D" w:rsidP="00876CB3">
            <w:pPr>
              <w:spacing w:after="120"/>
              <w:rPr>
                <w:b/>
                <w:sz w:val="28"/>
                <w:szCs w:val="28"/>
              </w:rPr>
            </w:pPr>
            <w:r w:rsidRPr="0074491D">
              <w:rPr>
                <w:b/>
                <w:sz w:val="28"/>
                <w:szCs w:val="28"/>
              </w:rPr>
              <w:t>TELLING OUR STORY:</w:t>
            </w:r>
          </w:p>
          <w:p w14:paraId="3BB19ED7" w14:textId="0CA71C4F" w:rsidR="00F86CC6" w:rsidRPr="00036039" w:rsidRDefault="008E7E8F" w:rsidP="00876CB3">
            <w:pPr>
              <w:spacing w:after="120"/>
              <w:rPr>
                <w:rFonts w:cstheme="minorHAnsi"/>
                <w:sz w:val="24"/>
                <w:szCs w:val="24"/>
              </w:rPr>
            </w:pPr>
            <w:r w:rsidRPr="00036039">
              <w:rPr>
                <w:rFonts w:cstheme="minorHAnsi"/>
                <w:sz w:val="24"/>
                <w:szCs w:val="24"/>
              </w:rPr>
              <w:t>Although costs have reduced compared to the previous year, demonstrating improving performance for this indicator, Argyll and Bute has ranked 31 out of 32 local authorities for the fourth year running.</w:t>
            </w:r>
          </w:p>
          <w:p w14:paraId="1B489651" w14:textId="77777777" w:rsidR="006A3094" w:rsidRPr="006A3094" w:rsidRDefault="008E7E8F" w:rsidP="00876CB3">
            <w:pPr>
              <w:spacing w:after="120"/>
              <w:rPr>
                <w:rFonts w:cstheme="minorHAnsi"/>
                <w:sz w:val="24"/>
                <w:szCs w:val="24"/>
              </w:rPr>
            </w:pPr>
            <w:r w:rsidRPr="00036039">
              <w:rPr>
                <w:rFonts w:cstheme="minorHAnsi"/>
                <w:sz w:val="24"/>
                <w:szCs w:val="24"/>
              </w:rPr>
              <w:t>This indicator is adversely affected by the declining population within Argyll and Bute</w:t>
            </w:r>
            <w:r w:rsidR="000D2B5A" w:rsidRPr="00036039">
              <w:rPr>
                <w:rFonts w:cstheme="minorHAnsi"/>
                <w:sz w:val="24"/>
                <w:szCs w:val="24"/>
              </w:rPr>
              <w:t>, whereas the national figure is aided by an increase in population across Scotland</w:t>
            </w:r>
            <w:r w:rsidR="006A3094">
              <w:rPr>
                <w:rFonts w:cstheme="minorHAnsi"/>
                <w:sz w:val="24"/>
                <w:szCs w:val="24"/>
              </w:rPr>
              <w:t xml:space="preserve"> </w:t>
            </w:r>
            <w:r w:rsidR="006A3094" w:rsidRPr="006A3094">
              <w:rPr>
                <w:rFonts w:cstheme="minorHAnsi"/>
                <w:sz w:val="24"/>
                <w:szCs w:val="24"/>
              </w:rPr>
              <w:t>and the costs of public conveniences being incorporated within the measure.</w:t>
            </w:r>
          </w:p>
          <w:p w14:paraId="5C42B463" w14:textId="3D2EE2ED" w:rsidR="008E7E8F" w:rsidRPr="00036039" w:rsidRDefault="006A3094" w:rsidP="00876CB3">
            <w:pPr>
              <w:spacing w:after="120"/>
              <w:rPr>
                <w:rFonts w:cstheme="minorHAnsi"/>
                <w:sz w:val="24"/>
                <w:szCs w:val="24"/>
              </w:rPr>
            </w:pPr>
            <w:r w:rsidRPr="006A3094">
              <w:rPr>
                <w:rFonts w:cstheme="minorHAnsi"/>
                <w:sz w:val="24"/>
                <w:szCs w:val="24"/>
              </w:rPr>
              <w:t xml:space="preserve">The service uses the APSE Environmental Health Performance Framework to measure and benchmark performance and this demonstrates a different picture. The costs are solely focussed on core environmental health activities and the APSE 2018-19 report identifies the cost for environmental health per 100 population as being £9,510. By comparison with 17/18 figures this is a reduction from £12870.  In 18/19 the average costs was £7,410 with the range </w:t>
            </w:r>
            <w:proofErr w:type="gramStart"/>
            <w:r w:rsidRPr="006A3094">
              <w:rPr>
                <w:rFonts w:cstheme="minorHAnsi"/>
                <w:sz w:val="24"/>
                <w:szCs w:val="24"/>
              </w:rPr>
              <w:t>between £2490 to £10,410</w:t>
            </w:r>
            <w:proofErr w:type="gramEnd"/>
            <w:r w:rsidRPr="006A3094">
              <w:rPr>
                <w:rFonts w:cstheme="minorHAnsi"/>
                <w:sz w:val="24"/>
                <w:szCs w:val="24"/>
              </w:rPr>
              <w:t>. This work also identifies that our central costs are the highest of authorities in our grouping. .</w:t>
            </w:r>
          </w:p>
          <w:p w14:paraId="5EB77552" w14:textId="74BCE963" w:rsidR="00ED6185" w:rsidRPr="004A7E36" w:rsidRDefault="00ED6185" w:rsidP="00730B04">
            <w:pPr>
              <w:rPr>
                <w:rFonts w:ascii="Arial" w:hAnsi="Arial" w:cs="Arial"/>
              </w:rPr>
            </w:pPr>
          </w:p>
        </w:tc>
      </w:tr>
      <w:tr w:rsidR="0074491D" w:rsidRPr="0074491D" w14:paraId="2FAEFDBC" w14:textId="77777777" w:rsidTr="004F4EA3">
        <w:trPr>
          <w:jc w:val="center"/>
        </w:trPr>
        <w:tc>
          <w:tcPr>
            <w:tcW w:w="15309" w:type="dxa"/>
            <w:gridSpan w:val="4"/>
          </w:tcPr>
          <w:p w14:paraId="4D7C3144" w14:textId="77777777" w:rsidR="004A7E36" w:rsidRPr="004A7E36" w:rsidRDefault="004A7E36" w:rsidP="009A329B">
            <w:pPr>
              <w:rPr>
                <w:sz w:val="6"/>
                <w:szCs w:val="6"/>
              </w:rPr>
            </w:pPr>
          </w:p>
          <w:p w14:paraId="307AD991" w14:textId="77777777" w:rsidR="0074491D" w:rsidRDefault="00232953" w:rsidP="00876CB3">
            <w:pPr>
              <w:spacing w:after="120"/>
              <w:rPr>
                <w:b/>
                <w:sz w:val="28"/>
                <w:szCs w:val="28"/>
              </w:rPr>
            </w:pPr>
            <w:r>
              <w:rPr>
                <w:b/>
                <w:sz w:val="28"/>
                <w:szCs w:val="28"/>
              </w:rPr>
              <w:t>LOOKING FORWARD - EXPECTED IMPACT ON INDICATOR</w:t>
            </w:r>
            <w:r w:rsidR="0074491D" w:rsidRPr="0074491D">
              <w:rPr>
                <w:b/>
                <w:sz w:val="28"/>
                <w:szCs w:val="28"/>
              </w:rPr>
              <w:t>:</w:t>
            </w:r>
          </w:p>
          <w:p w14:paraId="715A48FD" w14:textId="482BB7CD" w:rsidR="0074491D" w:rsidRPr="006805F1" w:rsidRDefault="006A3094" w:rsidP="00876CB3">
            <w:pPr>
              <w:spacing w:after="120"/>
              <w:rPr>
                <w:rFonts w:cstheme="minorHAnsi"/>
                <w:sz w:val="24"/>
                <w:szCs w:val="24"/>
              </w:rPr>
            </w:pPr>
            <w:r w:rsidRPr="006805F1">
              <w:rPr>
                <w:rFonts w:cstheme="minorHAnsi"/>
                <w:sz w:val="24"/>
                <w:szCs w:val="24"/>
              </w:rPr>
              <w:t xml:space="preserve">This measure and our position is likely to remain unchanged unles there are revisions to the costs which are included within it. This will be despite further reductions in the environmental health budget. Notwithstanding this, the APS measures are likely to demonstrate an increase in income levels due to legislative </w:t>
            </w:r>
            <w:proofErr w:type="gramStart"/>
            <w:r w:rsidRPr="006805F1">
              <w:rPr>
                <w:rFonts w:cstheme="minorHAnsi"/>
                <w:sz w:val="24"/>
                <w:szCs w:val="24"/>
              </w:rPr>
              <w:t>changes ,</w:t>
            </w:r>
            <w:proofErr w:type="gramEnd"/>
            <w:r w:rsidRPr="006805F1">
              <w:rPr>
                <w:rFonts w:cstheme="minorHAnsi"/>
                <w:sz w:val="24"/>
                <w:szCs w:val="24"/>
              </w:rPr>
              <w:t xml:space="preserve"> including private water supplies.</w:t>
            </w:r>
          </w:p>
        </w:tc>
      </w:tr>
    </w:tbl>
    <w:p w14:paraId="5D58B520" w14:textId="5FF43A78" w:rsidR="000E1D37" w:rsidRDefault="000E1D37"/>
    <w:tbl>
      <w:tblPr>
        <w:tblStyle w:val="TableGrid6"/>
        <w:tblW w:w="15309" w:type="dxa"/>
        <w:jc w:val="center"/>
        <w:tblLook w:val="04A0" w:firstRow="1" w:lastRow="0" w:firstColumn="1" w:lastColumn="0" w:noHBand="0" w:noVBand="1"/>
      </w:tblPr>
      <w:tblGrid>
        <w:gridCol w:w="5949"/>
        <w:gridCol w:w="1559"/>
        <w:gridCol w:w="6237"/>
        <w:gridCol w:w="1564"/>
      </w:tblGrid>
      <w:tr w:rsidR="00705021" w:rsidRPr="005D65E6" w14:paraId="4B773701" w14:textId="77777777" w:rsidTr="00BB4FA4">
        <w:trPr>
          <w:trHeight w:val="794"/>
          <w:jc w:val="center"/>
        </w:trPr>
        <w:tc>
          <w:tcPr>
            <w:tcW w:w="15309" w:type="dxa"/>
            <w:gridSpan w:val="4"/>
            <w:vAlign w:val="center"/>
          </w:tcPr>
          <w:p w14:paraId="5D316832" w14:textId="5FF43A78" w:rsidR="00705021" w:rsidRPr="005D65E6" w:rsidRDefault="000E1D37" w:rsidP="00473295">
            <w:pPr>
              <w:rPr>
                <w:b/>
                <w:sz w:val="32"/>
              </w:rPr>
            </w:pPr>
            <w:r>
              <w:rPr>
                <w:b/>
                <w:sz w:val="32"/>
              </w:rPr>
              <w:t>S</w:t>
            </w:r>
            <w:r w:rsidR="00705021" w:rsidRPr="005D65E6">
              <w:rPr>
                <w:b/>
                <w:sz w:val="32"/>
              </w:rPr>
              <w:t xml:space="preserve">ERVICE: </w:t>
            </w:r>
            <w:r w:rsidR="00473295">
              <w:rPr>
                <w:b/>
                <w:sz w:val="32"/>
              </w:rPr>
              <w:t>DEVELOPMENT AND ECONOMIC GROWTH</w:t>
            </w:r>
          </w:p>
        </w:tc>
      </w:tr>
      <w:tr w:rsidR="00705021" w:rsidRPr="00BC29AB" w14:paraId="2D2D6718" w14:textId="77777777" w:rsidTr="00BB4FA4">
        <w:trPr>
          <w:trHeight w:val="567"/>
          <w:jc w:val="center"/>
        </w:trPr>
        <w:tc>
          <w:tcPr>
            <w:tcW w:w="15309" w:type="dxa"/>
            <w:gridSpan w:val="4"/>
            <w:vAlign w:val="center"/>
          </w:tcPr>
          <w:p w14:paraId="37861055" w14:textId="49F9CE59" w:rsidR="00705021" w:rsidRPr="00BC29AB" w:rsidRDefault="00705021" w:rsidP="00E15EAC">
            <w:pPr>
              <w:pStyle w:val="Heading1"/>
              <w:spacing w:before="0"/>
              <w:outlineLvl w:val="0"/>
              <w:rPr>
                <w:b/>
                <w:color w:val="auto"/>
              </w:rPr>
            </w:pPr>
            <w:bookmarkStart w:id="51" w:name="_Toc56757729"/>
            <w:r w:rsidRPr="00BC29AB">
              <w:rPr>
                <w:b/>
                <w:color w:val="auto"/>
              </w:rPr>
              <w:t>INDICATOR REF: ECON3 - Average time per business and industry planning application (weeks)</w:t>
            </w:r>
            <w:bookmarkEnd w:id="51"/>
          </w:p>
        </w:tc>
      </w:tr>
      <w:tr w:rsidR="00705021" w:rsidRPr="0074491D" w14:paraId="35F81CCC" w14:textId="77777777" w:rsidTr="00BB4FA4">
        <w:trPr>
          <w:trHeight w:val="454"/>
          <w:jc w:val="center"/>
        </w:trPr>
        <w:tc>
          <w:tcPr>
            <w:tcW w:w="15309" w:type="dxa"/>
            <w:gridSpan w:val="4"/>
            <w:vAlign w:val="center"/>
          </w:tcPr>
          <w:p w14:paraId="41D8D1DF" w14:textId="57599E45" w:rsidR="00705021" w:rsidRPr="009E69AC" w:rsidRDefault="00705021" w:rsidP="00DA7059">
            <w:pPr>
              <w:jc w:val="center"/>
              <w:rPr>
                <w:b/>
                <w:color w:val="0070C0"/>
                <w:sz w:val="28"/>
                <w:szCs w:val="28"/>
              </w:rPr>
            </w:pPr>
            <w:r w:rsidRPr="00C577BD">
              <w:rPr>
                <w:b/>
                <w:color w:val="0070C0"/>
                <w:sz w:val="28"/>
                <w:szCs w:val="28"/>
              </w:rPr>
              <w:t>Performance Range:</w:t>
            </w:r>
            <w:r w:rsidRPr="004C7782">
              <w:rPr>
                <w:b/>
                <w:color w:val="0070C0"/>
                <w:sz w:val="28"/>
                <w:szCs w:val="28"/>
              </w:rPr>
              <w:t xml:space="preserve"> </w:t>
            </w:r>
            <w:r w:rsidR="00DA7059">
              <w:rPr>
                <w:b/>
                <w:color w:val="0070C0"/>
                <w:sz w:val="28"/>
                <w:szCs w:val="28"/>
              </w:rPr>
              <w:t xml:space="preserve">6.49 </w:t>
            </w:r>
            <w:r>
              <w:rPr>
                <w:b/>
                <w:color w:val="0070C0"/>
                <w:sz w:val="28"/>
                <w:szCs w:val="28"/>
              </w:rPr>
              <w:t xml:space="preserve">to </w:t>
            </w:r>
            <w:r w:rsidR="00DA7059">
              <w:rPr>
                <w:b/>
                <w:color w:val="0070C0"/>
                <w:sz w:val="28"/>
                <w:szCs w:val="28"/>
              </w:rPr>
              <w:t>13.02</w:t>
            </w:r>
            <w:r w:rsidR="000E1D37">
              <w:rPr>
                <w:b/>
                <w:color w:val="0070C0"/>
                <w:sz w:val="28"/>
                <w:szCs w:val="28"/>
              </w:rPr>
              <w:t xml:space="preserve">  </w:t>
            </w:r>
            <w:r w:rsidRPr="00BE08CC">
              <w:rPr>
                <w:b/>
                <w:color w:val="0070C0"/>
                <w:sz w:val="28"/>
                <w:szCs w:val="28"/>
              </w:rPr>
              <w:t>(Lowest is best)</w:t>
            </w:r>
          </w:p>
        </w:tc>
      </w:tr>
      <w:tr w:rsidR="00705021" w:rsidRPr="0074491D" w14:paraId="7AE27BE1" w14:textId="77777777" w:rsidTr="00BB4FA4">
        <w:trPr>
          <w:trHeight w:val="397"/>
          <w:jc w:val="center"/>
        </w:trPr>
        <w:tc>
          <w:tcPr>
            <w:tcW w:w="7508" w:type="dxa"/>
            <w:gridSpan w:val="2"/>
            <w:shd w:val="clear" w:color="auto" w:fill="D9E2F3" w:themeFill="accent5" w:themeFillTint="33"/>
            <w:vAlign w:val="center"/>
          </w:tcPr>
          <w:p w14:paraId="0A758E36" w14:textId="77777777" w:rsidR="00705021" w:rsidRPr="0074491D" w:rsidRDefault="00705021" w:rsidP="00BB4FA4">
            <w:pPr>
              <w:jc w:val="center"/>
              <w:rPr>
                <w:b/>
                <w:sz w:val="28"/>
                <w:szCs w:val="28"/>
              </w:rPr>
            </w:pPr>
            <w:r w:rsidRPr="0074491D">
              <w:rPr>
                <w:b/>
                <w:sz w:val="28"/>
                <w:szCs w:val="28"/>
              </w:rPr>
              <w:t>ARGYLL AND BUTE</w:t>
            </w:r>
          </w:p>
        </w:tc>
        <w:tc>
          <w:tcPr>
            <w:tcW w:w="7801" w:type="dxa"/>
            <w:gridSpan w:val="2"/>
            <w:shd w:val="clear" w:color="auto" w:fill="D9E2F3" w:themeFill="accent5" w:themeFillTint="33"/>
            <w:vAlign w:val="center"/>
          </w:tcPr>
          <w:p w14:paraId="5ADD67C3" w14:textId="77777777" w:rsidR="00705021" w:rsidRPr="0074491D" w:rsidRDefault="00705021" w:rsidP="00BB4FA4">
            <w:pPr>
              <w:jc w:val="center"/>
              <w:rPr>
                <w:b/>
                <w:sz w:val="28"/>
                <w:szCs w:val="28"/>
              </w:rPr>
            </w:pPr>
            <w:r w:rsidRPr="0074491D">
              <w:rPr>
                <w:b/>
                <w:sz w:val="28"/>
                <w:szCs w:val="28"/>
              </w:rPr>
              <w:t>SCOTLAND</w:t>
            </w:r>
          </w:p>
        </w:tc>
      </w:tr>
      <w:tr w:rsidR="00705021" w:rsidRPr="0074491D" w14:paraId="1E11DAE0" w14:textId="77777777" w:rsidTr="00BB4FA4">
        <w:trPr>
          <w:trHeight w:val="397"/>
          <w:jc w:val="center"/>
        </w:trPr>
        <w:tc>
          <w:tcPr>
            <w:tcW w:w="7508" w:type="dxa"/>
            <w:gridSpan w:val="2"/>
            <w:vAlign w:val="center"/>
          </w:tcPr>
          <w:p w14:paraId="5DB750FC" w14:textId="08F7E355" w:rsidR="00705021" w:rsidRPr="00721B18" w:rsidRDefault="00DA7059" w:rsidP="00BB4FA4">
            <w:pPr>
              <w:jc w:val="center"/>
              <w:rPr>
                <w:b/>
                <w:sz w:val="28"/>
                <w:szCs w:val="28"/>
              </w:rPr>
            </w:pPr>
            <w:r>
              <w:rPr>
                <w:b/>
                <w:sz w:val="28"/>
                <w:szCs w:val="28"/>
              </w:rPr>
              <w:t>9.97</w:t>
            </w:r>
          </w:p>
        </w:tc>
        <w:tc>
          <w:tcPr>
            <w:tcW w:w="7801" w:type="dxa"/>
            <w:gridSpan w:val="2"/>
            <w:vAlign w:val="center"/>
          </w:tcPr>
          <w:p w14:paraId="5CAAC343" w14:textId="10A12187" w:rsidR="00705021" w:rsidRPr="0074491D" w:rsidRDefault="00DA7059" w:rsidP="00BB4FA4">
            <w:pPr>
              <w:jc w:val="center"/>
              <w:rPr>
                <w:b/>
                <w:sz w:val="28"/>
                <w:szCs w:val="28"/>
              </w:rPr>
            </w:pPr>
            <w:r>
              <w:rPr>
                <w:b/>
                <w:sz w:val="28"/>
                <w:szCs w:val="28"/>
              </w:rPr>
              <w:t>9.09</w:t>
            </w:r>
          </w:p>
        </w:tc>
      </w:tr>
      <w:tr w:rsidR="00705021" w:rsidRPr="0074491D" w14:paraId="41789404" w14:textId="77777777" w:rsidTr="00BB4FA4">
        <w:trPr>
          <w:trHeight w:val="397"/>
          <w:jc w:val="center"/>
        </w:trPr>
        <w:tc>
          <w:tcPr>
            <w:tcW w:w="5949" w:type="dxa"/>
            <w:vAlign w:val="center"/>
          </w:tcPr>
          <w:p w14:paraId="2E068EAE" w14:textId="1B1B2459" w:rsidR="00705021" w:rsidRPr="00721B18" w:rsidRDefault="00705021" w:rsidP="000E1D37">
            <w:pPr>
              <w:jc w:val="center"/>
              <w:rPr>
                <w:b/>
                <w:sz w:val="28"/>
                <w:szCs w:val="28"/>
              </w:rPr>
            </w:pPr>
            <w:r w:rsidRPr="00721B18">
              <w:rPr>
                <w:b/>
                <w:sz w:val="28"/>
                <w:szCs w:val="28"/>
              </w:rPr>
              <w:t>CHANGE 201</w:t>
            </w:r>
            <w:r w:rsidR="000E1D37">
              <w:rPr>
                <w:b/>
                <w:sz w:val="28"/>
                <w:szCs w:val="28"/>
              </w:rPr>
              <w:t>7</w:t>
            </w:r>
            <w:r w:rsidRPr="00721B18">
              <w:rPr>
                <w:b/>
                <w:sz w:val="28"/>
                <w:szCs w:val="28"/>
              </w:rPr>
              <w:t>/1</w:t>
            </w:r>
            <w:r w:rsidR="000E1D37">
              <w:rPr>
                <w:b/>
                <w:sz w:val="28"/>
                <w:szCs w:val="28"/>
              </w:rPr>
              <w:t>8</w:t>
            </w:r>
            <w:r w:rsidRPr="00721B18">
              <w:rPr>
                <w:b/>
                <w:sz w:val="28"/>
                <w:szCs w:val="28"/>
              </w:rPr>
              <w:t xml:space="preserve"> TO </w:t>
            </w:r>
            <w:r>
              <w:rPr>
                <w:b/>
                <w:sz w:val="28"/>
                <w:szCs w:val="28"/>
              </w:rPr>
              <w:t>201</w:t>
            </w:r>
            <w:r w:rsidR="000E1D37">
              <w:rPr>
                <w:b/>
                <w:sz w:val="28"/>
                <w:szCs w:val="28"/>
              </w:rPr>
              <w:t>8</w:t>
            </w:r>
            <w:r>
              <w:rPr>
                <w:b/>
                <w:sz w:val="28"/>
                <w:szCs w:val="28"/>
              </w:rPr>
              <w:t>/1</w:t>
            </w:r>
            <w:r w:rsidR="000E1D37">
              <w:rPr>
                <w:b/>
                <w:sz w:val="28"/>
                <w:szCs w:val="28"/>
              </w:rPr>
              <w:t>9</w:t>
            </w:r>
          </w:p>
        </w:tc>
        <w:tc>
          <w:tcPr>
            <w:tcW w:w="1559" w:type="dxa"/>
            <w:vAlign w:val="center"/>
          </w:tcPr>
          <w:p w14:paraId="4C9C71BE" w14:textId="579673F7" w:rsidR="00705021" w:rsidRPr="00721B18" w:rsidRDefault="00DA7059" w:rsidP="00BB4FA4">
            <w:pPr>
              <w:jc w:val="center"/>
              <w:rPr>
                <w:b/>
                <w:sz w:val="28"/>
                <w:szCs w:val="28"/>
              </w:rPr>
            </w:pPr>
            <w:r>
              <w:rPr>
                <w:b/>
                <w:sz w:val="28"/>
                <w:szCs w:val="28"/>
              </w:rPr>
              <w:t>-17.55</w:t>
            </w:r>
            <w:r w:rsidR="000E1D37">
              <w:rPr>
                <w:b/>
                <w:sz w:val="28"/>
                <w:szCs w:val="28"/>
              </w:rPr>
              <w:t>%</w:t>
            </w:r>
            <w:r w:rsidR="008E5FE9">
              <w:rPr>
                <w:b/>
                <w:sz w:val="28"/>
                <w:szCs w:val="28"/>
              </w:rPr>
              <w:t xml:space="preserve"> </w:t>
            </w:r>
            <w:r w:rsidR="008E5FE9" w:rsidRPr="00EC5E64">
              <w:rPr>
                <w:b/>
                <w:color w:val="00B050"/>
                <w:sz w:val="28"/>
                <w:szCs w:val="28"/>
              </w:rPr>
              <w:sym w:font="Wingdings" w:char="F0EA"/>
            </w:r>
          </w:p>
        </w:tc>
        <w:tc>
          <w:tcPr>
            <w:tcW w:w="6237" w:type="dxa"/>
            <w:vAlign w:val="center"/>
          </w:tcPr>
          <w:p w14:paraId="28C45945" w14:textId="005F73C0" w:rsidR="00705021" w:rsidRPr="0074491D" w:rsidRDefault="00705021" w:rsidP="000E1D37">
            <w:pPr>
              <w:jc w:val="center"/>
              <w:rPr>
                <w:sz w:val="28"/>
                <w:szCs w:val="28"/>
              </w:rPr>
            </w:pPr>
            <w:r>
              <w:rPr>
                <w:sz w:val="28"/>
                <w:szCs w:val="28"/>
              </w:rPr>
              <w:t>CHANGE 201</w:t>
            </w:r>
            <w:r w:rsidR="000E1D37">
              <w:rPr>
                <w:sz w:val="28"/>
                <w:szCs w:val="28"/>
              </w:rPr>
              <w:t>7</w:t>
            </w:r>
            <w:r>
              <w:rPr>
                <w:sz w:val="28"/>
                <w:szCs w:val="28"/>
              </w:rPr>
              <w:t>/1</w:t>
            </w:r>
            <w:r w:rsidR="000E1D37">
              <w:rPr>
                <w:sz w:val="28"/>
                <w:szCs w:val="28"/>
              </w:rPr>
              <w:t>8</w:t>
            </w:r>
            <w:r>
              <w:rPr>
                <w:sz w:val="28"/>
                <w:szCs w:val="28"/>
              </w:rPr>
              <w:t xml:space="preserve"> TO 201</w:t>
            </w:r>
            <w:r w:rsidR="000E1D37">
              <w:rPr>
                <w:sz w:val="28"/>
                <w:szCs w:val="28"/>
              </w:rPr>
              <w:t>8</w:t>
            </w:r>
            <w:r>
              <w:rPr>
                <w:sz w:val="28"/>
                <w:szCs w:val="28"/>
              </w:rPr>
              <w:t>/1</w:t>
            </w:r>
            <w:r w:rsidR="000E1D37">
              <w:rPr>
                <w:sz w:val="28"/>
                <w:szCs w:val="28"/>
              </w:rPr>
              <w:t>9</w:t>
            </w:r>
          </w:p>
        </w:tc>
        <w:tc>
          <w:tcPr>
            <w:tcW w:w="1564" w:type="dxa"/>
            <w:vAlign w:val="center"/>
          </w:tcPr>
          <w:p w14:paraId="0FA17E57" w14:textId="44D6A224" w:rsidR="00705021" w:rsidRPr="0074491D" w:rsidRDefault="008E5FE9" w:rsidP="00BB4FA4">
            <w:pPr>
              <w:jc w:val="center"/>
              <w:rPr>
                <w:sz w:val="28"/>
                <w:szCs w:val="28"/>
              </w:rPr>
            </w:pPr>
            <w:r>
              <w:rPr>
                <w:sz w:val="28"/>
                <w:szCs w:val="28"/>
              </w:rPr>
              <w:t>-2.71</w:t>
            </w:r>
            <w:r w:rsidR="000E1D37">
              <w:rPr>
                <w:sz w:val="28"/>
                <w:szCs w:val="28"/>
              </w:rPr>
              <w:t>%</w:t>
            </w:r>
            <w:r>
              <w:rPr>
                <w:sz w:val="28"/>
                <w:szCs w:val="28"/>
              </w:rPr>
              <w:t xml:space="preserve"> </w:t>
            </w:r>
            <w:r w:rsidRPr="00EC5E64">
              <w:rPr>
                <w:b/>
                <w:color w:val="00B050"/>
                <w:sz w:val="28"/>
                <w:szCs w:val="28"/>
              </w:rPr>
              <w:sym w:font="Wingdings" w:char="F0EA"/>
            </w:r>
          </w:p>
        </w:tc>
      </w:tr>
      <w:tr w:rsidR="00705021" w:rsidRPr="0074491D" w14:paraId="51BDCC4D" w14:textId="77777777" w:rsidTr="00B318EA">
        <w:trPr>
          <w:trHeight w:val="397"/>
          <w:jc w:val="center"/>
        </w:trPr>
        <w:tc>
          <w:tcPr>
            <w:tcW w:w="5949" w:type="dxa"/>
            <w:vAlign w:val="center"/>
          </w:tcPr>
          <w:p w14:paraId="49D33113" w14:textId="2FF4CD53" w:rsidR="00705021" w:rsidRPr="00721B18" w:rsidRDefault="00705021" w:rsidP="000E1D37">
            <w:pPr>
              <w:jc w:val="center"/>
              <w:rPr>
                <w:b/>
                <w:sz w:val="28"/>
                <w:szCs w:val="28"/>
              </w:rPr>
            </w:pPr>
            <w:r w:rsidRPr="00721B18">
              <w:rPr>
                <w:b/>
                <w:sz w:val="28"/>
                <w:szCs w:val="28"/>
              </w:rPr>
              <w:t xml:space="preserve">CHANGE BASE YEAR TO </w:t>
            </w:r>
            <w:r>
              <w:rPr>
                <w:b/>
                <w:sz w:val="28"/>
                <w:szCs w:val="28"/>
              </w:rPr>
              <w:t>201</w:t>
            </w:r>
            <w:r w:rsidR="000E1D37">
              <w:rPr>
                <w:b/>
                <w:sz w:val="28"/>
                <w:szCs w:val="28"/>
              </w:rPr>
              <w:t>8</w:t>
            </w:r>
            <w:r>
              <w:rPr>
                <w:b/>
                <w:sz w:val="28"/>
                <w:szCs w:val="28"/>
              </w:rPr>
              <w:t>/1</w:t>
            </w:r>
            <w:r w:rsidR="000E1D37">
              <w:rPr>
                <w:b/>
                <w:sz w:val="28"/>
                <w:szCs w:val="28"/>
              </w:rPr>
              <w:t>9</w:t>
            </w:r>
          </w:p>
        </w:tc>
        <w:tc>
          <w:tcPr>
            <w:tcW w:w="1559" w:type="dxa"/>
            <w:vAlign w:val="center"/>
          </w:tcPr>
          <w:p w14:paraId="460E74A7" w14:textId="0C7EF3E4" w:rsidR="00705021" w:rsidRPr="00721B18" w:rsidRDefault="00DA7059" w:rsidP="00BB4FA4">
            <w:pPr>
              <w:jc w:val="center"/>
              <w:rPr>
                <w:b/>
                <w:sz w:val="28"/>
                <w:szCs w:val="28"/>
              </w:rPr>
            </w:pPr>
            <w:r>
              <w:rPr>
                <w:b/>
                <w:sz w:val="28"/>
                <w:szCs w:val="28"/>
              </w:rPr>
              <w:t>-7.36</w:t>
            </w:r>
            <w:r w:rsidR="000E1D37">
              <w:rPr>
                <w:b/>
                <w:sz w:val="28"/>
                <w:szCs w:val="28"/>
              </w:rPr>
              <w:t>%</w:t>
            </w:r>
            <w:r w:rsidR="008E5FE9">
              <w:rPr>
                <w:b/>
                <w:sz w:val="28"/>
                <w:szCs w:val="28"/>
              </w:rPr>
              <w:t xml:space="preserve"> </w:t>
            </w:r>
            <w:r w:rsidR="008E5FE9" w:rsidRPr="00EC5E64">
              <w:rPr>
                <w:b/>
                <w:color w:val="00B050"/>
                <w:sz w:val="28"/>
                <w:szCs w:val="28"/>
              </w:rPr>
              <w:sym w:font="Wingdings" w:char="F0EA"/>
            </w:r>
          </w:p>
        </w:tc>
        <w:tc>
          <w:tcPr>
            <w:tcW w:w="6237" w:type="dxa"/>
            <w:tcBorders>
              <w:bottom w:val="single" w:sz="4" w:space="0" w:color="auto"/>
            </w:tcBorders>
            <w:vAlign w:val="center"/>
          </w:tcPr>
          <w:p w14:paraId="339E00D6" w14:textId="2ACA1F2D" w:rsidR="00705021" w:rsidRDefault="00705021" w:rsidP="000E1D37">
            <w:pPr>
              <w:jc w:val="center"/>
              <w:rPr>
                <w:sz w:val="28"/>
                <w:szCs w:val="28"/>
              </w:rPr>
            </w:pPr>
            <w:r>
              <w:rPr>
                <w:sz w:val="28"/>
                <w:szCs w:val="28"/>
              </w:rPr>
              <w:t>CHANGE BASE YEAR TO 201</w:t>
            </w:r>
            <w:r w:rsidR="000E1D37">
              <w:rPr>
                <w:sz w:val="28"/>
                <w:szCs w:val="28"/>
              </w:rPr>
              <w:t>8</w:t>
            </w:r>
            <w:r>
              <w:rPr>
                <w:sz w:val="28"/>
                <w:szCs w:val="28"/>
              </w:rPr>
              <w:t>/1</w:t>
            </w:r>
            <w:r w:rsidR="000E1D37">
              <w:rPr>
                <w:sz w:val="28"/>
                <w:szCs w:val="28"/>
              </w:rPr>
              <w:t>9</w:t>
            </w:r>
          </w:p>
        </w:tc>
        <w:tc>
          <w:tcPr>
            <w:tcW w:w="1564" w:type="dxa"/>
            <w:tcBorders>
              <w:bottom w:val="single" w:sz="4" w:space="0" w:color="auto"/>
            </w:tcBorders>
            <w:vAlign w:val="center"/>
          </w:tcPr>
          <w:p w14:paraId="4F92E73C" w14:textId="039A1E46" w:rsidR="00705021" w:rsidRDefault="008E5FE9" w:rsidP="00BB4FA4">
            <w:pPr>
              <w:jc w:val="center"/>
              <w:rPr>
                <w:sz w:val="28"/>
                <w:szCs w:val="28"/>
              </w:rPr>
            </w:pPr>
            <w:r>
              <w:rPr>
                <w:sz w:val="28"/>
                <w:szCs w:val="28"/>
              </w:rPr>
              <w:t>-35.14</w:t>
            </w:r>
            <w:r w:rsidR="000E1D37">
              <w:rPr>
                <w:sz w:val="28"/>
                <w:szCs w:val="28"/>
              </w:rPr>
              <w:t>%</w:t>
            </w:r>
            <w:r>
              <w:rPr>
                <w:sz w:val="28"/>
                <w:szCs w:val="28"/>
              </w:rPr>
              <w:t xml:space="preserve"> </w:t>
            </w:r>
            <w:r w:rsidRPr="00EC5E64">
              <w:rPr>
                <w:b/>
                <w:color w:val="00B050"/>
                <w:sz w:val="28"/>
                <w:szCs w:val="28"/>
              </w:rPr>
              <w:sym w:font="Wingdings" w:char="F0EA"/>
            </w:r>
          </w:p>
        </w:tc>
      </w:tr>
      <w:tr w:rsidR="00705021" w:rsidRPr="0074491D" w14:paraId="68BECB17" w14:textId="77777777" w:rsidTr="00B318EA">
        <w:trPr>
          <w:trHeight w:val="397"/>
          <w:jc w:val="center"/>
        </w:trPr>
        <w:tc>
          <w:tcPr>
            <w:tcW w:w="7508" w:type="dxa"/>
            <w:gridSpan w:val="2"/>
            <w:vAlign w:val="center"/>
          </w:tcPr>
          <w:p w14:paraId="79538833" w14:textId="743B25F3" w:rsidR="00705021" w:rsidRPr="00721B18" w:rsidRDefault="00705021" w:rsidP="003B4CC9">
            <w:pPr>
              <w:jc w:val="center"/>
              <w:rPr>
                <w:b/>
                <w:sz w:val="28"/>
                <w:szCs w:val="28"/>
              </w:rPr>
            </w:pPr>
            <w:r w:rsidRPr="00721B18">
              <w:rPr>
                <w:b/>
                <w:sz w:val="28"/>
                <w:szCs w:val="28"/>
              </w:rPr>
              <w:t>RANK POSITION</w:t>
            </w:r>
            <w:r w:rsidRPr="008E5FE9">
              <w:rPr>
                <w:b/>
                <w:sz w:val="28"/>
                <w:szCs w:val="28"/>
              </w:rPr>
              <w:t xml:space="preserve">: </w:t>
            </w:r>
            <w:r w:rsidR="00DA7059" w:rsidRPr="008E5FE9">
              <w:rPr>
                <w:b/>
                <w:sz w:val="28"/>
                <w:szCs w:val="28"/>
              </w:rPr>
              <w:t>23</w:t>
            </w:r>
            <w:r w:rsidRPr="008E5FE9">
              <w:rPr>
                <w:b/>
                <w:sz w:val="28"/>
                <w:szCs w:val="28"/>
              </w:rPr>
              <w:t xml:space="preserve">   RANK </w:t>
            </w:r>
            <w:r w:rsidRPr="00721B18">
              <w:rPr>
                <w:b/>
                <w:sz w:val="28"/>
                <w:szCs w:val="28"/>
              </w:rPr>
              <w:t xml:space="preserve">MOVEMENT: </w:t>
            </w:r>
            <w:r w:rsidR="00DA7059">
              <w:rPr>
                <w:b/>
                <w:sz w:val="28"/>
                <w:szCs w:val="28"/>
              </w:rPr>
              <w:t>4</w:t>
            </w:r>
            <w:r w:rsidR="008E5FE9">
              <w:rPr>
                <w:b/>
                <w:sz w:val="28"/>
                <w:szCs w:val="28"/>
              </w:rPr>
              <w:t xml:space="preserve"> </w:t>
            </w:r>
            <w:r w:rsidR="003B4CC9" w:rsidRPr="00EC5E64">
              <w:rPr>
                <w:b/>
                <w:color w:val="00B050"/>
                <w:sz w:val="28"/>
                <w:szCs w:val="28"/>
              </w:rPr>
              <w:sym w:font="Wingdings" w:char="F0E9"/>
            </w:r>
          </w:p>
        </w:tc>
        <w:tc>
          <w:tcPr>
            <w:tcW w:w="7801" w:type="dxa"/>
            <w:gridSpan w:val="2"/>
            <w:tcBorders>
              <w:bottom w:val="nil"/>
            </w:tcBorders>
            <w:shd w:val="clear" w:color="auto" w:fill="D9D9D9" w:themeFill="background1" w:themeFillShade="D9"/>
            <w:vAlign w:val="center"/>
          </w:tcPr>
          <w:p w14:paraId="149D11C1" w14:textId="77777777" w:rsidR="00705021" w:rsidRPr="0074491D" w:rsidRDefault="00705021" w:rsidP="00BB4FA4">
            <w:pPr>
              <w:rPr>
                <w:sz w:val="28"/>
                <w:szCs w:val="28"/>
              </w:rPr>
            </w:pPr>
          </w:p>
        </w:tc>
      </w:tr>
      <w:tr w:rsidR="00705021" w:rsidRPr="0074491D" w14:paraId="6A3C238A" w14:textId="77777777" w:rsidTr="00B318EA">
        <w:trPr>
          <w:trHeight w:val="397"/>
          <w:jc w:val="center"/>
        </w:trPr>
        <w:tc>
          <w:tcPr>
            <w:tcW w:w="7508" w:type="dxa"/>
            <w:gridSpan w:val="2"/>
            <w:shd w:val="clear" w:color="auto" w:fill="D9E2F3" w:themeFill="accent5" w:themeFillTint="33"/>
            <w:vAlign w:val="center"/>
          </w:tcPr>
          <w:p w14:paraId="7A82111C" w14:textId="46BD15D5" w:rsidR="00705021" w:rsidRDefault="00705021" w:rsidP="00BB4FA4">
            <w:pPr>
              <w:jc w:val="center"/>
              <w:rPr>
                <w:b/>
                <w:sz w:val="28"/>
                <w:szCs w:val="28"/>
              </w:rPr>
            </w:pPr>
            <w:r>
              <w:rPr>
                <w:b/>
                <w:sz w:val="28"/>
                <w:szCs w:val="28"/>
              </w:rPr>
              <w:t>FAMILY GROUP RANKING 201</w:t>
            </w:r>
            <w:r w:rsidR="000E1D37">
              <w:rPr>
                <w:b/>
                <w:sz w:val="28"/>
                <w:szCs w:val="28"/>
              </w:rPr>
              <w:t>8</w:t>
            </w:r>
            <w:r>
              <w:rPr>
                <w:b/>
                <w:sz w:val="28"/>
                <w:szCs w:val="28"/>
              </w:rPr>
              <w:t>/1</w:t>
            </w:r>
            <w:r w:rsidR="000E1D37">
              <w:rPr>
                <w:b/>
                <w:sz w:val="28"/>
                <w:szCs w:val="28"/>
              </w:rPr>
              <w:t>9</w:t>
            </w:r>
          </w:p>
          <w:p w14:paraId="6AD7649E" w14:textId="3E2F1510" w:rsidR="00705021" w:rsidRPr="00721B18" w:rsidRDefault="000E1D37" w:rsidP="000E1D37">
            <w:pPr>
              <w:jc w:val="center"/>
              <w:rPr>
                <w:b/>
                <w:sz w:val="28"/>
                <w:szCs w:val="28"/>
              </w:rPr>
            </w:pPr>
            <w:r>
              <w:rPr>
                <w:b/>
                <w:sz w:val="28"/>
                <w:szCs w:val="28"/>
              </w:rPr>
              <w:t>RANK POSITION:</w:t>
            </w:r>
            <w:r w:rsidR="00705021">
              <w:rPr>
                <w:b/>
                <w:sz w:val="28"/>
                <w:szCs w:val="28"/>
              </w:rPr>
              <w:t xml:space="preserve"> </w:t>
            </w:r>
            <w:r w:rsidR="00DA7059">
              <w:rPr>
                <w:b/>
                <w:sz w:val="28"/>
                <w:szCs w:val="28"/>
              </w:rPr>
              <w:t>6</w:t>
            </w:r>
            <w:r w:rsidR="00705021">
              <w:rPr>
                <w:b/>
                <w:sz w:val="28"/>
                <w:szCs w:val="28"/>
              </w:rPr>
              <w:t xml:space="preserve">   RANK MOVEMENT: </w:t>
            </w:r>
            <w:r w:rsidR="00DA7059">
              <w:rPr>
                <w:b/>
                <w:sz w:val="28"/>
                <w:szCs w:val="28"/>
              </w:rPr>
              <w:t>0</w:t>
            </w:r>
            <w:r w:rsidR="008E5FE9">
              <w:rPr>
                <w:b/>
                <w:sz w:val="28"/>
                <w:szCs w:val="28"/>
              </w:rPr>
              <w:t xml:space="preserve"> </w:t>
            </w:r>
            <w:r w:rsidR="008E5FE9" w:rsidRPr="00A83E3B">
              <w:rPr>
                <w:b/>
                <w:color w:val="0070C0"/>
                <w:sz w:val="28"/>
                <w:szCs w:val="28"/>
              </w:rPr>
              <w:sym w:font="Wingdings" w:char="F0E8"/>
            </w:r>
            <w:r w:rsidR="008E5FE9">
              <w:rPr>
                <w:b/>
                <w:color w:val="0070C0"/>
                <w:sz w:val="28"/>
                <w:szCs w:val="28"/>
              </w:rPr>
              <w:t xml:space="preserve">   </w:t>
            </w:r>
          </w:p>
        </w:tc>
        <w:tc>
          <w:tcPr>
            <w:tcW w:w="7801" w:type="dxa"/>
            <w:gridSpan w:val="2"/>
            <w:tcBorders>
              <w:top w:val="nil"/>
            </w:tcBorders>
            <w:shd w:val="clear" w:color="auto" w:fill="D9D9D9" w:themeFill="background1" w:themeFillShade="D9"/>
            <w:vAlign w:val="center"/>
          </w:tcPr>
          <w:p w14:paraId="643BEE91" w14:textId="77777777" w:rsidR="00705021" w:rsidRPr="0074491D" w:rsidRDefault="00705021" w:rsidP="00BB4FA4">
            <w:pPr>
              <w:rPr>
                <w:sz w:val="28"/>
                <w:szCs w:val="28"/>
              </w:rPr>
            </w:pPr>
          </w:p>
        </w:tc>
      </w:tr>
      <w:tr w:rsidR="00705021" w:rsidRPr="0074491D" w14:paraId="3DBF7549" w14:textId="77777777" w:rsidTr="00BB4FA4">
        <w:trPr>
          <w:jc w:val="center"/>
        </w:trPr>
        <w:tc>
          <w:tcPr>
            <w:tcW w:w="15309" w:type="dxa"/>
            <w:gridSpan w:val="4"/>
          </w:tcPr>
          <w:p w14:paraId="202C506F" w14:textId="74D0BF7C" w:rsidR="00705021" w:rsidRPr="004A7E36" w:rsidRDefault="00705021" w:rsidP="00BB4FA4">
            <w:pPr>
              <w:rPr>
                <w:sz w:val="6"/>
                <w:szCs w:val="6"/>
              </w:rPr>
            </w:pPr>
          </w:p>
          <w:p w14:paraId="58847B88" w14:textId="2A830A00" w:rsidR="003B4CC9" w:rsidRDefault="0092253F" w:rsidP="00876CB3">
            <w:pPr>
              <w:spacing w:after="120"/>
              <w:rPr>
                <w:b/>
                <w:sz w:val="28"/>
                <w:szCs w:val="28"/>
              </w:rPr>
            </w:pPr>
            <w:r>
              <w:rPr>
                <w:b/>
                <w:sz w:val="28"/>
                <w:szCs w:val="28"/>
              </w:rPr>
              <w:t>TELLING OUR STORY:</w:t>
            </w:r>
          </w:p>
          <w:p w14:paraId="00237BB2" w14:textId="0E037AA0" w:rsidR="0092253F" w:rsidRPr="006805F1" w:rsidRDefault="00BF527C" w:rsidP="00876CB3">
            <w:pPr>
              <w:spacing w:after="120"/>
              <w:rPr>
                <w:sz w:val="24"/>
                <w:szCs w:val="24"/>
              </w:rPr>
            </w:pPr>
            <w:r w:rsidRPr="006805F1">
              <w:rPr>
                <w:sz w:val="24"/>
                <w:szCs w:val="24"/>
              </w:rPr>
              <w:t>This measure identifies the average time taken by the Council’s Development Management Service to determine planning applications for business and industry development. The Council’s performance on this indicator improved through delivery of a reduction in average determination time from 12.09 weeks in 2017/18 to 9.97 weeks in 2018/19. The Scottish Average has improved from 9.34 weeks to 9.09 weeks.</w:t>
            </w:r>
          </w:p>
          <w:p w14:paraId="5C4A0F4C" w14:textId="15A5FA33" w:rsidR="00BF527C" w:rsidRPr="006805F1" w:rsidRDefault="00BF527C" w:rsidP="00876CB3">
            <w:pPr>
              <w:spacing w:after="120"/>
              <w:rPr>
                <w:sz w:val="24"/>
                <w:szCs w:val="24"/>
              </w:rPr>
            </w:pPr>
            <w:r w:rsidRPr="006805F1">
              <w:rPr>
                <w:sz w:val="24"/>
                <w:szCs w:val="24"/>
              </w:rPr>
              <w:t>It is noted that within the context of Argyll and Bute, this measure is based upon a small number of applications (23 in 2018/19) and as such is prone to fluctuation as data can be readily skewed by one or two early or late decisions. Factors such as the complexity of an individual application or staffing levels can have a significant impact upon this measure.</w:t>
            </w:r>
          </w:p>
          <w:p w14:paraId="5710E21E" w14:textId="77777777" w:rsidR="00241D96" w:rsidRPr="004A7E36" w:rsidRDefault="00241D96" w:rsidP="00BF527C">
            <w:pPr>
              <w:rPr>
                <w:rFonts w:ascii="Arial" w:hAnsi="Arial" w:cs="Arial"/>
                <w:szCs w:val="24"/>
              </w:rPr>
            </w:pPr>
          </w:p>
        </w:tc>
      </w:tr>
      <w:tr w:rsidR="00705021" w:rsidRPr="0074491D" w14:paraId="7DCF8C71" w14:textId="77777777" w:rsidTr="00BB4FA4">
        <w:trPr>
          <w:jc w:val="center"/>
        </w:trPr>
        <w:tc>
          <w:tcPr>
            <w:tcW w:w="15309" w:type="dxa"/>
            <w:gridSpan w:val="4"/>
          </w:tcPr>
          <w:p w14:paraId="750349EF" w14:textId="77777777" w:rsidR="00705021" w:rsidRPr="00705021" w:rsidRDefault="00705021" w:rsidP="00BB4FA4">
            <w:pPr>
              <w:rPr>
                <w:sz w:val="6"/>
                <w:szCs w:val="6"/>
              </w:rPr>
            </w:pPr>
          </w:p>
          <w:p w14:paraId="1A383C8E" w14:textId="77777777" w:rsidR="00705021" w:rsidRPr="00705021" w:rsidRDefault="00705021" w:rsidP="00876CB3">
            <w:pPr>
              <w:spacing w:after="120"/>
              <w:rPr>
                <w:b/>
                <w:sz w:val="28"/>
                <w:szCs w:val="28"/>
              </w:rPr>
            </w:pPr>
            <w:r w:rsidRPr="00705021">
              <w:rPr>
                <w:b/>
                <w:sz w:val="28"/>
                <w:szCs w:val="28"/>
              </w:rPr>
              <w:t>LOOKING FORWARD - EXPECTED IMPACT ON INDICATOR:</w:t>
            </w:r>
          </w:p>
          <w:p w14:paraId="7118ADA2" w14:textId="77777777" w:rsidR="00BF527C" w:rsidRPr="006805F1" w:rsidRDefault="00BF527C" w:rsidP="00876CB3">
            <w:pPr>
              <w:spacing w:after="120"/>
              <w:rPr>
                <w:rFonts w:cstheme="minorHAnsi"/>
                <w:sz w:val="24"/>
                <w:szCs w:val="24"/>
              </w:rPr>
            </w:pPr>
            <w:r w:rsidRPr="006805F1">
              <w:rPr>
                <w:rFonts w:cstheme="minorHAnsi"/>
                <w:sz w:val="24"/>
                <w:szCs w:val="24"/>
              </w:rPr>
              <w:t>The Development Management Service has been reduced by 5fte by budget savings in 2017/18 and 2019/20 which has reduced the resilience of the Service to cope with periods of higher than normal demand or extended periods of absence without there being adverse impacts on performance.</w:t>
            </w:r>
          </w:p>
          <w:p w14:paraId="550361E6" w14:textId="12AA9F66" w:rsidR="00705021" w:rsidRPr="00705021" w:rsidRDefault="00BF527C" w:rsidP="00876CB3">
            <w:pPr>
              <w:spacing w:after="120"/>
              <w:rPr>
                <w:rFonts w:ascii="Arial" w:hAnsi="Arial" w:cs="Arial"/>
                <w:szCs w:val="28"/>
              </w:rPr>
            </w:pPr>
            <w:r w:rsidRPr="006805F1">
              <w:rPr>
                <w:rFonts w:cstheme="minorHAnsi"/>
                <w:sz w:val="24"/>
                <w:szCs w:val="24"/>
              </w:rPr>
              <w:t xml:space="preserve">It is highlighted however that simply measuring speed of decision making alone is not considered to be a good indicator of the overall quality of planning service provided. Whilst speed of decision making is acknowledged to be a significant factor on provision of a quality service it is contended that delivering </w:t>
            </w:r>
            <w:r w:rsidRPr="006805F1">
              <w:rPr>
                <w:rFonts w:cstheme="minorHAnsi"/>
                <w:sz w:val="24"/>
                <w:szCs w:val="24"/>
              </w:rPr>
              <w:lastRenderedPageBreak/>
              <w:t>positive outcomes and achieving the right development in the right place is an even more important element that requires to be taken into account. The former element is reflected in performance reporting that looks at approval rates; in 2018/19 Argyll and Bute had an approval rate of 97.4% in comparison to the national average of 93.7% which is reflective of the Development Management Services ethos of seeking to engage with applicants to take additional time where this is required to resolve issues and deliver a positive outcome wherever possible.</w:t>
            </w:r>
          </w:p>
        </w:tc>
      </w:tr>
    </w:tbl>
    <w:p w14:paraId="6501066F" w14:textId="10F53611" w:rsidR="00921119" w:rsidRDefault="00921119" w:rsidP="004A7E36">
      <w:pPr>
        <w:spacing w:after="0" w:line="240" w:lineRule="auto"/>
      </w:pPr>
    </w:p>
    <w:p w14:paraId="2A27EFA3" w14:textId="77777777" w:rsidR="00921119" w:rsidRDefault="00921119">
      <w:r>
        <w:br w:type="page"/>
      </w:r>
    </w:p>
    <w:p w14:paraId="6734F382" w14:textId="30885CC9" w:rsidR="00921119" w:rsidRPr="002D0E83" w:rsidRDefault="00921119" w:rsidP="00921119">
      <w:pPr>
        <w:pStyle w:val="Heading2"/>
        <w:spacing w:before="0" w:line="240" w:lineRule="auto"/>
        <w:jc w:val="center"/>
        <w:rPr>
          <w:b/>
          <w:color w:val="auto"/>
          <w:sz w:val="52"/>
          <w:szCs w:val="52"/>
        </w:rPr>
      </w:pPr>
      <w:bookmarkStart w:id="52" w:name="_Toc56757730"/>
      <w:r>
        <w:rPr>
          <w:b/>
          <w:color w:val="auto"/>
          <w:sz w:val="52"/>
          <w:szCs w:val="52"/>
        </w:rPr>
        <w:lastRenderedPageBreak/>
        <w:t>LEGAL AND REGULATORY</w:t>
      </w:r>
      <w:bookmarkEnd w:id="52"/>
    </w:p>
    <w:p w14:paraId="626225C1" w14:textId="77777777" w:rsidR="00921119" w:rsidRDefault="00921119" w:rsidP="00921119">
      <w:pPr>
        <w:spacing w:after="0" w:line="240" w:lineRule="auto"/>
      </w:pPr>
    </w:p>
    <w:tbl>
      <w:tblPr>
        <w:tblStyle w:val="TableGrid6"/>
        <w:tblW w:w="15309" w:type="dxa"/>
        <w:jc w:val="center"/>
        <w:tblLook w:val="04A0" w:firstRow="1" w:lastRow="0" w:firstColumn="1" w:lastColumn="0" w:noHBand="0" w:noVBand="1"/>
      </w:tblPr>
      <w:tblGrid>
        <w:gridCol w:w="5949"/>
        <w:gridCol w:w="1559"/>
        <w:gridCol w:w="6095"/>
        <w:gridCol w:w="1706"/>
      </w:tblGrid>
      <w:tr w:rsidR="00921119" w:rsidRPr="005D65E6" w14:paraId="7C385D98" w14:textId="77777777" w:rsidTr="008A1C74">
        <w:trPr>
          <w:trHeight w:val="794"/>
          <w:jc w:val="center"/>
        </w:trPr>
        <w:tc>
          <w:tcPr>
            <w:tcW w:w="15309" w:type="dxa"/>
            <w:gridSpan w:val="4"/>
            <w:vAlign w:val="center"/>
          </w:tcPr>
          <w:p w14:paraId="6A4F3886" w14:textId="46651448" w:rsidR="00921119" w:rsidRPr="005D65E6" w:rsidRDefault="00921119" w:rsidP="00921119">
            <w:pPr>
              <w:rPr>
                <w:b/>
                <w:sz w:val="32"/>
              </w:rPr>
            </w:pPr>
            <w:r w:rsidRPr="005D65E6">
              <w:rPr>
                <w:b/>
                <w:sz w:val="32"/>
              </w:rPr>
              <w:t xml:space="preserve">SERVICE: </w:t>
            </w:r>
            <w:r>
              <w:rPr>
                <w:b/>
                <w:sz w:val="32"/>
              </w:rPr>
              <w:t>LEGAL AND REGULATORY</w:t>
            </w:r>
          </w:p>
        </w:tc>
      </w:tr>
      <w:tr w:rsidR="00921119" w:rsidRPr="005B1C4B" w14:paraId="4D0682C6" w14:textId="77777777" w:rsidTr="008A1C74">
        <w:trPr>
          <w:trHeight w:val="567"/>
          <w:jc w:val="center"/>
        </w:trPr>
        <w:tc>
          <w:tcPr>
            <w:tcW w:w="15309" w:type="dxa"/>
            <w:gridSpan w:val="4"/>
            <w:vAlign w:val="center"/>
          </w:tcPr>
          <w:p w14:paraId="196B8629" w14:textId="77777777" w:rsidR="00921119" w:rsidRPr="005B1C4B" w:rsidRDefault="00921119" w:rsidP="008A1C74">
            <w:pPr>
              <w:pStyle w:val="Heading1"/>
              <w:spacing w:before="0"/>
              <w:outlineLvl w:val="0"/>
              <w:rPr>
                <w:b/>
                <w:color w:val="auto"/>
              </w:rPr>
            </w:pPr>
            <w:bookmarkStart w:id="53" w:name="_Toc56757731"/>
            <w:r w:rsidRPr="005B1C4B">
              <w:rPr>
                <w:b/>
                <w:color w:val="auto"/>
              </w:rPr>
              <w:t>INDICATOR REF: ENV5 - Cost of trading standards and environmental health per 1,000 population</w:t>
            </w:r>
            <w:bookmarkEnd w:id="53"/>
          </w:p>
        </w:tc>
      </w:tr>
      <w:tr w:rsidR="00921119" w:rsidRPr="0074491D" w14:paraId="0FD555B7" w14:textId="77777777" w:rsidTr="008A1C74">
        <w:trPr>
          <w:trHeight w:val="454"/>
          <w:jc w:val="center"/>
        </w:trPr>
        <w:tc>
          <w:tcPr>
            <w:tcW w:w="15309" w:type="dxa"/>
            <w:gridSpan w:val="4"/>
            <w:vAlign w:val="center"/>
          </w:tcPr>
          <w:p w14:paraId="0DD3C265" w14:textId="6E2EF991" w:rsidR="00921119" w:rsidRPr="00B70275" w:rsidRDefault="00921119" w:rsidP="008A1C74">
            <w:pPr>
              <w:jc w:val="center"/>
              <w:rPr>
                <w:b/>
                <w:color w:val="0070C0"/>
                <w:sz w:val="28"/>
                <w:szCs w:val="28"/>
              </w:rPr>
            </w:pPr>
            <w:r>
              <w:rPr>
                <w:b/>
                <w:color w:val="0070C0"/>
                <w:sz w:val="28"/>
                <w:szCs w:val="28"/>
              </w:rPr>
              <w:t>Performance Range: £</w:t>
            </w:r>
            <w:r w:rsidR="00A6470A">
              <w:rPr>
                <w:b/>
                <w:color w:val="0070C0"/>
                <w:sz w:val="28"/>
                <w:szCs w:val="28"/>
              </w:rPr>
              <w:t>12,251</w:t>
            </w:r>
            <w:r>
              <w:rPr>
                <w:b/>
                <w:color w:val="0070C0"/>
                <w:sz w:val="28"/>
                <w:szCs w:val="28"/>
              </w:rPr>
              <w:t xml:space="preserve"> to £</w:t>
            </w:r>
            <w:r w:rsidR="00A6470A">
              <w:rPr>
                <w:b/>
                <w:color w:val="0070C0"/>
                <w:sz w:val="28"/>
                <w:szCs w:val="28"/>
              </w:rPr>
              <w:t>44,628</w:t>
            </w:r>
            <w:r>
              <w:rPr>
                <w:b/>
                <w:color w:val="0070C0"/>
                <w:sz w:val="28"/>
                <w:szCs w:val="28"/>
              </w:rPr>
              <w:t xml:space="preserve">  </w:t>
            </w:r>
            <w:r w:rsidRPr="00BE08CC">
              <w:rPr>
                <w:b/>
                <w:color w:val="0070C0"/>
                <w:sz w:val="28"/>
                <w:szCs w:val="28"/>
              </w:rPr>
              <w:t>(Lowest is best)</w:t>
            </w:r>
          </w:p>
        </w:tc>
      </w:tr>
      <w:tr w:rsidR="00921119" w:rsidRPr="0074491D" w14:paraId="57799372" w14:textId="77777777" w:rsidTr="008A1C74">
        <w:trPr>
          <w:trHeight w:val="397"/>
          <w:jc w:val="center"/>
        </w:trPr>
        <w:tc>
          <w:tcPr>
            <w:tcW w:w="7508" w:type="dxa"/>
            <w:gridSpan w:val="2"/>
            <w:shd w:val="clear" w:color="auto" w:fill="D9E2F3" w:themeFill="accent5" w:themeFillTint="33"/>
            <w:vAlign w:val="center"/>
          </w:tcPr>
          <w:p w14:paraId="064609BA" w14:textId="77777777" w:rsidR="00921119" w:rsidRPr="0074491D" w:rsidRDefault="00921119" w:rsidP="008A1C74">
            <w:pPr>
              <w:jc w:val="center"/>
              <w:rPr>
                <w:b/>
                <w:sz w:val="28"/>
                <w:szCs w:val="28"/>
              </w:rPr>
            </w:pPr>
            <w:r w:rsidRPr="0074491D">
              <w:rPr>
                <w:b/>
                <w:sz w:val="28"/>
                <w:szCs w:val="28"/>
              </w:rPr>
              <w:t>ARGYLL AND BUTE</w:t>
            </w:r>
          </w:p>
        </w:tc>
        <w:tc>
          <w:tcPr>
            <w:tcW w:w="7801" w:type="dxa"/>
            <w:gridSpan w:val="2"/>
            <w:shd w:val="clear" w:color="auto" w:fill="D9E2F3" w:themeFill="accent5" w:themeFillTint="33"/>
            <w:vAlign w:val="center"/>
          </w:tcPr>
          <w:p w14:paraId="47EFD98B" w14:textId="77777777" w:rsidR="00921119" w:rsidRPr="0074491D" w:rsidRDefault="00921119" w:rsidP="008A1C74">
            <w:pPr>
              <w:jc w:val="center"/>
              <w:rPr>
                <w:b/>
                <w:sz w:val="28"/>
                <w:szCs w:val="28"/>
              </w:rPr>
            </w:pPr>
            <w:r w:rsidRPr="0074491D">
              <w:rPr>
                <w:b/>
                <w:sz w:val="28"/>
                <w:szCs w:val="28"/>
              </w:rPr>
              <w:t>SCOTLAND</w:t>
            </w:r>
          </w:p>
        </w:tc>
      </w:tr>
      <w:tr w:rsidR="00921119" w:rsidRPr="0074491D" w14:paraId="072157E1" w14:textId="77777777" w:rsidTr="008A1C74">
        <w:trPr>
          <w:trHeight w:val="397"/>
          <w:jc w:val="center"/>
        </w:trPr>
        <w:tc>
          <w:tcPr>
            <w:tcW w:w="7508" w:type="dxa"/>
            <w:gridSpan w:val="2"/>
            <w:vAlign w:val="center"/>
          </w:tcPr>
          <w:p w14:paraId="6E1A501B" w14:textId="1B2910A3" w:rsidR="00921119" w:rsidRPr="00721B18" w:rsidRDefault="00921119" w:rsidP="008A1C74">
            <w:pPr>
              <w:tabs>
                <w:tab w:val="left" w:pos="2993"/>
              </w:tabs>
              <w:jc w:val="center"/>
              <w:rPr>
                <w:b/>
                <w:sz w:val="28"/>
                <w:szCs w:val="28"/>
              </w:rPr>
            </w:pPr>
            <w:r>
              <w:rPr>
                <w:b/>
                <w:sz w:val="28"/>
                <w:szCs w:val="28"/>
              </w:rPr>
              <w:t>£</w:t>
            </w:r>
            <w:r w:rsidR="00A6470A">
              <w:rPr>
                <w:b/>
                <w:sz w:val="28"/>
                <w:szCs w:val="28"/>
              </w:rPr>
              <w:t>38,372</w:t>
            </w:r>
          </w:p>
        </w:tc>
        <w:tc>
          <w:tcPr>
            <w:tcW w:w="7801" w:type="dxa"/>
            <w:gridSpan w:val="2"/>
            <w:vAlign w:val="center"/>
          </w:tcPr>
          <w:p w14:paraId="028017E5" w14:textId="4EABB9DB" w:rsidR="00921119" w:rsidRPr="0074491D" w:rsidRDefault="00921119" w:rsidP="008A1C74">
            <w:pPr>
              <w:jc w:val="center"/>
              <w:rPr>
                <w:b/>
                <w:sz w:val="28"/>
                <w:szCs w:val="28"/>
              </w:rPr>
            </w:pPr>
            <w:r>
              <w:rPr>
                <w:b/>
                <w:sz w:val="28"/>
                <w:szCs w:val="28"/>
              </w:rPr>
              <w:t>£</w:t>
            </w:r>
            <w:r w:rsidR="004778C8">
              <w:rPr>
                <w:b/>
                <w:sz w:val="28"/>
                <w:szCs w:val="28"/>
              </w:rPr>
              <w:t>20,759</w:t>
            </w:r>
          </w:p>
        </w:tc>
      </w:tr>
      <w:tr w:rsidR="00921119" w:rsidRPr="0074491D" w14:paraId="3316CD71" w14:textId="77777777" w:rsidTr="008A1C74">
        <w:trPr>
          <w:trHeight w:val="397"/>
          <w:jc w:val="center"/>
        </w:trPr>
        <w:tc>
          <w:tcPr>
            <w:tcW w:w="5949" w:type="dxa"/>
            <w:vAlign w:val="center"/>
          </w:tcPr>
          <w:p w14:paraId="2535023F" w14:textId="77777777" w:rsidR="00921119" w:rsidRPr="00721B18" w:rsidRDefault="00921119" w:rsidP="008A1C74">
            <w:pPr>
              <w:jc w:val="center"/>
              <w:rPr>
                <w:b/>
                <w:sz w:val="28"/>
                <w:szCs w:val="28"/>
              </w:rPr>
            </w:pPr>
            <w:r w:rsidRPr="00721B18">
              <w:rPr>
                <w:b/>
                <w:sz w:val="28"/>
                <w:szCs w:val="28"/>
              </w:rPr>
              <w:t>CHANGE 201</w:t>
            </w:r>
            <w:r>
              <w:rPr>
                <w:b/>
                <w:sz w:val="28"/>
                <w:szCs w:val="28"/>
              </w:rPr>
              <w:t>7</w:t>
            </w:r>
            <w:r w:rsidRPr="00721B18">
              <w:rPr>
                <w:b/>
                <w:sz w:val="28"/>
                <w:szCs w:val="28"/>
              </w:rPr>
              <w:t>/1</w:t>
            </w:r>
            <w:r>
              <w:rPr>
                <w:b/>
                <w:sz w:val="28"/>
                <w:szCs w:val="28"/>
              </w:rPr>
              <w:t>8</w:t>
            </w:r>
            <w:r w:rsidRPr="00721B18">
              <w:rPr>
                <w:b/>
                <w:sz w:val="28"/>
                <w:szCs w:val="28"/>
              </w:rPr>
              <w:t xml:space="preserve"> TO </w:t>
            </w:r>
            <w:r>
              <w:rPr>
                <w:b/>
                <w:sz w:val="28"/>
                <w:szCs w:val="28"/>
              </w:rPr>
              <w:t>2018/19</w:t>
            </w:r>
          </w:p>
        </w:tc>
        <w:tc>
          <w:tcPr>
            <w:tcW w:w="1559" w:type="dxa"/>
            <w:vAlign w:val="center"/>
          </w:tcPr>
          <w:p w14:paraId="7DA3FB7F" w14:textId="39236ADB" w:rsidR="00921119" w:rsidRPr="00721B18" w:rsidRDefault="004778C8" w:rsidP="008A1C74">
            <w:pPr>
              <w:jc w:val="center"/>
              <w:rPr>
                <w:b/>
                <w:sz w:val="28"/>
                <w:szCs w:val="28"/>
              </w:rPr>
            </w:pPr>
            <w:r>
              <w:rPr>
                <w:b/>
                <w:sz w:val="28"/>
                <w:szCs w:val="28"/>
              </w:rPr>
              <w:t>-2.18</w:t>
            </w:r>
            <w:r w:rsidR="00921119">
              <w:rPr>
                <w:b/>
                <w:sz w:val="28"/>
                <w:szCs w:val="28"/>
              </w:rPr>
              <w:t>%</w:t>
            </w:r>
            <w:r w:rsidR="008E5FE9">
              <w:rPr>
                <w:b/>
                <w:sz w:val="28"/>
                <w:szCs w:val="28"/>
              </w:rPr>
              <w:t xml:space="preserve"> </w:t>
            </w:r>
            <w:r w:rsidR="008E5FE9" w:rsidRPr="00EC5E64">
              <w:rPr>
                <w:b/>
                <w:color w:val="00B050"/>
                <w:sz w:val="28"/>
                <w:szCs w:val="28"/>
              </w:rPr>
              <w:sym w:font="Wingdings" w:char="F0EA"/>
            </w:r>
          </w:p>
        </w:tc>
        <w:tc>
          <w:tcPr>
            <w:tcW w:w="6095" w:type="dxa"/>
            <w:vAlign w:val="center"/>
          </w:tcPr>
          <w:p w14:paraId="16F4392D" w14:textId="77777777" w:rsidR="00921119" w:rsidRPr="0074491D" w:rsidRDefault="00921119" w:rsidP="008A1C74">
            <w:pPr>
              <w:jc w:val="center"/>
              <w:rPr>
                <w:sz w:val="28"/>
                <w:szCs w:val="28"/>
              </w:rPr>
            </w:pPr>
            <w:r>
              <w:rPr>
                <w:sz w:val="28"/>
                <w:szCs w:val="28"/>
              </w:rPr>
              <w:t>CHANGE 2017/18 TO 2018/19</w:t>
            </w:r>
          </w:p>
        </w:tc>
        <w:tc>
          <w:tcPr>
            <w:tcW w:w="1706" w:type="dxa"/>
            <w:vAlign w:val="center"/>
          </w:tcPr>
          <w:p w14:paraId="32424326" w14:textId="428756B4" w:rsidR="00921119" w:rsidRPr="0074491D" w:rsidRDefault="008E5FE9" w:rsidP="008A1C74">
            <w:pPr>
              <w:jc w:val="center"/>
              <w:rPr>
                <w:sz w:val="28"/>
                <w:szCs w:val="28"/>
              </w:rPr>
            </w:pPr>
            <w:r>
              <w:rPr>
                <w:sz w:val="28"/>
                <w:szCs w:val="28"/>
              </w:rPr>
              <w:t>-4.73</w:t>
            </w:r>
            <w:r w:rsidR="00921119">
              <w:rPr>
                <w:sz w:val="28"/>
                <w:szCs w:val="28"/>
              </w:rPr>
              <w:t>%</w:t>
            </w:r>
            <w:r>
              <w:rPr>
                <w:sz w:val="28"/>
                <w:szCs w:val="28"/>
              </w:rPr>
              <w:t xml:space="preserve"> </w:t>
            </w:r>
            <w:r w:rsidRPr="00EC5E64">
              <w:rPr>
                <w:b/>
                <w:color w:val="00B050"/>
                <w:sz w:val="28"/>
                <w:szCs w:val="28"/>
              </w:rPr>
              <w:sym w:font="Wingdings" w:char="F0EA"/>
            </w:r>
          </w:p>
        </w:tc>
      </w:tr>
      <w:tr w:rsidR="00921119" w:rsidRPr="0074491D" w14:paraId="6016FD3C" w14:textId="77777777" w:rsidTr="008A1C74">
        <w:trPr>
          <w:trHeight w:val="397"/>
          <w:jc w:val="center"/>
        </w:trPr>
        <w:tc>
          <w:tcPr>
            <w:tcW w:w="5949" w:type="dxa"/>
            <w:vAlign w:val="center"/>
          </w:tcPr>
          <w:p w14:paraId="0CD42A37" w14:textId="77777777" w:rsidR="00921119" w:rsidRPr="00721B18" w:rsidRDefault="00921119" w:rsidP="008A1C74">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2018/19</w:t>
            </w:r>
          </w:p>
        </w:tc>
        <w:tc>
          <w:tcPr>
            <w:tcW w:w="1559" w:type="dxa"/>
            <w:vAlign w:val="center"/>
          </w:tcPr>
          <w:p w14:paraId="4264425E" w14:textId="5A986E8D" w:rsidR="00921119" w:rsidRPr="00721B18" w:rsidRDefault="004778C8" w:rsidP="008A1C74">
            <w:pPr>
              <w:jc w:val="center"/>
              <w:rPr>
                <w:b/>
                <w:sz w:val="28"/>
                <w:szCs w:val="28"/>
              </w:rPr>
            </w:pPr>
            <w:r>
              <w:rPr>
                <w:b/>
                <w:sz w:val="28"/>
                <w:szCs w:val="28"/>
              </w:rPr>
              <w:t>-7.54</w:t>
            </w:r>
            <w:r w:rsidR="00921119">
              <w:rPr>
                <w:b/>
                <w:sz w:val="28"/>
                <w:szCs w:val="28"/>
              </w:rPr>
              <w:t>%</w:t>
            </w:r>
            <w:r w:rsidR="008E5FE9">
              <w:rPr>
                <w:b/>
                <w:sz w:val="28"/>
                <w:szCs w:val="28"/>
              </w:rPr>
              <w:t xml:space="preserve"> </w:t>
            </w:r>
            <w:r w:rsidR="008E5FE9" w:rsidRPr="00EC5E64">
              <w:rPr>
                <w:b/>
                <w:color w:val="00B050"/>
                <w:sz w:val="28"/>
                <w:szCs w:val="28"/>
              </w:rPr>
              <w:sym w:font="Wingdings" w:char="F0EA"/>
            </w:r>
          </w:p>
        </w:tc>
        <w:tc>
          <w:tcPr>
            <w:tcW w:w="6095" w:type="dxa"/>
            <w:tcBorders>
              <w:bottom w:val="single" w:sz="4" w:space="0" w:color="auto"/>
            </w:tcBorders>
            <w:vAlign w:val="center"/>
          </w:tcPr>
          <w:p w14:paraId="1B52E771" w14:textId="77777777" w:rsidR="00921119" w:rsidRPr="0074491D" w:rsidRDefault="00921119" w:rsidP="008A1C74">
            <w:pPr>
              <w:jc w:val="center"/>
              <w:rPr>
                <w:sz w:val="28"/>
                <w:szCs w:val="28"/>
              </w:rPr>
            </w:pPr>
            <w:r>
              <w:rPr>
                <w:sz w:val="28"/>
                <w:szCs w:val="28"/>
              </w:rPr>
              <w:t xml:space="preserve">CHANGE </w:t>
            </w:r>
            <w:r w:rsidRPr="00903E39">
              <w:rPr>
                <w:sz w:val="28"/>
                <w:szCs w:val="28"/>
              </w:rPr>
              <w:t xml:space="preserve">BASE YEAR </w:t>
            </w:r>
            <w:r>
              <w:rPr>
                <w:sz w:val="28"/>
                <w:szCs w:val="28"/>
              </w:rPr>
              <w:t>TO 2018/19</w:t>
            </w:r>
          </w:p>
        </w:tc>
        <w:tc>
          <w:tcPr>
            <w:tcW w:w="1706" w:type="dxa"/>
            <w:tcBorders>
              <w:bottom w:val="single" w:sz="4" w:space="0" w:color="auto"/>
            </w:tcBorders>
            <w:vAlign w:val="center"/>
          </w:tcPr>
          <w:p w14:paraId="5685A4FA" w14:textId="326658B1" w:rsidR="00921119" w:rsidRPr="0074491D" w:rsidRDefault="008E5FE9" w:rsidP="008A1C74">
            <w:pPr>
              <w:jc w:val="center"/>
              <w:rPr>
                <w:sz w:val="28"/>
                <w:szCs w:val="28"/>
              </w:rPr>
            </w:pPr>
            <w:r>
              <w:rPr>
                <w:sz w:val="28"/>
                <w:szCs w:val="28"/>
              </w:rPr>
              <w:t xml:space="preserve">-25.54 </w:t>
            </w:r>
            <w:r w:rsidR="00921119">
              <w:rPr>
                <w:sz w:val="28"/>
                <w:szCs w:val="28"/>
              </w:rPr>
              <w:t>%</w:t>
            </w:r>
            <w:r>
              <w:rPr>
                <w:sz w:val="28"/>
                <w:szCs w:val="28"/>
              </w:rPr>
              <w:t xml:space="preserve"> </w:t>
            </w:r>
            <w:r w:rsidRPr="00EC5E64">
              <w:rPr>
                <w:b/>
                <w:color w:val="00B050"/>
                <w:sz w:val="28"/>
                <w:szCs w:val="28"/>
              </w:rPr>
              <w:sym w:font="Wingdings" w:char="F0EA"/>
            </w:r>
          </w:p>
        </w:tc>
      </w:tr>
      <w:tr w:rsidR="00921119" w:rsidRPr="0074491D" w14:paraId="36557D7C" w14:textId="77777777" w:rsidTr="008A1C74">
        <w:trPr>
          <w:trHeight w:val="397"/>
          <w:jc w:val="center"/>
        </w:trPr>
        <w:tc>
          <w:tcPr>
            <w:tcW w:w="7508" w:type="dxa"/>
            <w:gridSpan w:val="2"/>
            <w:tcBorders>
              <w:bottom w:val="single" w:sz="4" w:space="0" w:color="auto"/>
            </w:tcBorders>
            <w:vAlign w:val="center"/>
          </w:tcPr>
          <w:p w14:paraId="6CFDCEA5" w14:textId="488E027F" w:rsidR="00921119" w:rsidRPr="00721B18" w:rsidRDefault="00921119" w:rsidP="008A1C74">
            <w:pPr>
              <w:jc w:val="center"/>
              <w:rPr>
                <w:b/>
                <w:sz w:val="28"/>
                <w:szCs w:val="28"/>
              </w:rPr>
            </w:pPr>
            <w:r w:rsidRPr="00721B18">
              <w:rPr>
                <w:b/>
                <w:sz w:val="28"/>
                <w:szCs w:val="28"/>
              </w:rPr>
              <w:t>RANK POSITION</w:t>
            </w:r>
            <w:r w:rsidRPr="008E5FE9">
              <w:rPr>
                <w:b/>
                <w:sz w:val="28"/>
                <w:szCs w:val="28"/>
              </w:rPr>
              <w:t xml:space="preserve">:  </w:t>
            </w:r>
            <w:r w:rsidR="004778C8" w:rsidRPr="008E5FE9">
              <w:rPr>
                <w:b/>
                <w:sz w:val="28"/>
                <w:szCs w:val="28"/>
              </w:rPr>
              <w:t>31</w:t>
            </w:r>
            <w:r w:rsidRPr="008E5FE9">
              <w:rPr>
                <w:b/>
                <w:sz w:val="28"/>
                <w:szCs w:val="28"/>
              </w:rPr>
              <w:t xml:space="preserve">  RANK </w:t>
            </w:r>
            <w:r w:rsidRPr="00721B18">
              <w:rPr>
                <w:b/>
                <w:sz w:val="28"/>
                <w:szCs w:val="28"/>
              </w:rPr>
              <w:t xml:space="preserve">MOVEMENT: </w:t>
            </w:r>
            <w:r w:rsidR="004778C8">
              <w:rPr>
                <w:b/>
                <w:sz w:val="28"/>
                <w:szCs w:val="28"/>
              </w:rPr>
              <w:t>0</w:t>
            </w:r>
            <w:r w:rsidR="008E5FE9">
              <w:rPr>
                <w:b/>
                <w:sz w:val="28"/>
                <w:szCs w:val="28"/>
              </w:rPr>
              <w:t xml:space="preserve"> </w:t>
            </w:r>
            <w:r w:rsidR="008E5FE9" w:rsidRPr="00A83E3B">
              <w:rPr>
                <w:b/>
                <w:color w:val="0070C0"/>
                <w:sz w:val="28"/>
                <w:szCs w:val="28"/>
              </w:rPr>
              <w:sym w:font="Wingdings" w:char="F0E8"/>
            </w:r>
            <w:r w:rsidR="008E5FE9">
              <w:rPr>
                <w:b/>
                <w:color w:val="0070C0"/>
                <w:sz w:val="28"/>
                <w:szCs w:val="28"/>
              </w:rPr>
              <w:t xml:space="preserve">  </w:t>
            </w:r>
          </w:p>
        </w:tc>
        <w:tc>
          <w:tcPr>
            <w:tcW w:w="7801" w:type="dxa"/>
            <w:gridSpan w:val="2"/>
            <w:tcBorders>
              <w:bottom w:val="nil"/>
            </w:tcBorders>
            <w:shd w:val="clear" w:color="auto" w:fill="D9D9D9" w:themeFill="background1" w:themeFillShade="D9"/>
            <w:vAlign w:val="center"/>
          </w:tcPr>
          <w:p w14:paraId="5FED86B3" w14:textId="77777777" w:rsidR="00921119" w:rsidRPr="0074491D" w:rsidRDefault="00921119" w:rsidP="008A1C74">
            <w:pPr>
              <w:rPr>
                <w:sz w:val="28"/>
                <w:szCs w:val="28"/>
              </w:rPr>
            </w:pPr>
          </w:p>
        </w:tc>
      </w:tr>
      <w:tr w:rsidR="00921119" w:rsidRPr="0074491D" w14:paraId="55882F9D" w14:textId="77777777" w:rsidTr="008A1C74">
        <w:trPr>
          <w:trHeight w:val="397"/>
          <w:jc w:val="center"/>
        </w:trPr>
        <w:tc>
          <w:tcPr>
            <w:tcW w:w="7508" w:type="dxa"/>
            <w:gridSpan w:val="2"/>
            <w:tcBorders>
              <w:bottom w:val="nil"/>
            </w:tcBorders>
            <w:shd w:val="clear" w:color="auto" w:fill="D9E2F3" w:themeFill="accent5" w:themeFillTint="33"/>
            <w:vAlign w:val="center"/>
          </w:tcPr>
          <w:p w14:paraId="08BBCC93" w14:textId="77777777" w:rsidR="00921119" w:rsidRPr="00721B18" w:rsidRDefault="00921119" w:rsidP="008A1C74">
            <w:pPr>
              <w:jc w:val="center"/>
              <w:rPr>
                <w:b/>
                <w:sz w:val="28"/>
                <w:szCs w:val="28"/>
              </w:rPr>
            </w:pPr>
            <w:r>
              <w:rPr>
                <w:b/>
                <w:sz w:val="28"/>
                <w:szCs w:val="28"/>
              </w:rPr>
              <w:t>FAMILY GROUP RANKING 2018/19</w:t>
            </w:r>
          </w:p>
        </w:tc>
        <w:tc>
          <w:tcPr>
            <w:tcW w:w="7801" w:type="dxa"/>
            <w:gridSpan w:val="2"/>
            <w:tcBorders>
              <w:top w:val="nil"/>
              <w:bottom w:val="nil"/>
            </w:tcBorders>
            <w:shd w:val="clear" w:color="auto" w:fill="D9D9D9" w:themeFill="background1" w:themeFillShade="D9"/>
            <w:vAlign w:val="center"/>
          </w:tcPr>
          <w:p w14:paraId="27A3E4AB" w14:textId="77777777" w:rsidR="00921119" w:rsidRPr="0074491D" w:rsidRDefault="00921119" w:rsidP="008A1C74">
            <w:pPr>
              <w:rPr>
                <w:sz w:val="28"/>
                <w:szCs w:val="28"/>
              </w:rPr>
            </w:pPr>
          </w:p>
        </w:tc>
      </w:tr>
      <w:tr w:rsidR="00921119" w:rsidRPr="0074491D" w14:paraId="10C60F4A" w14:textId="77777777" w:rsidTr="008A1C74">
        <w:trPr>
          <w:trHeight w:val="397"/>
          <w:jc w:val="center"/>
        </w:trPr>
        <w:tc>
          <w:tcPr>
            <w:tcW w:w="7508" w:type="dxa"/>
            <w:gridSpan w:val="2"/>
            <w:tcBorders>
              <w:top w:val="nil"/>
            </w:tcBorders>
            <w:shd w:val="clear" w:color="auto" w:fill="D9E2F3" w:themeFill="accent5" w:themeFillTint="33"/>
            <w:vAlign w:val="center"/>
          </w:tcPr>
          <w:p w14:paraId="64977C6A" w14:textId="7F5749C8" w:rsidR="00921119" w:rsidRDefault="00921119" w:rsidP="008A1C74">
            <w:pPr>
              <w:jc w:val="center"/>
              <w:rPr>
                <w:b/>
                <w:sz w:val="28"/>
                <w:szCs w:val="28"/>
              </w:rPr>
            </w:pPr>
            <w:r>
              <w:rPr>
                <w:b/>
                <w:sz w:val="28"/>
                <w:szCs w:val="28"/>
              </w:rPr>
              <w:t xml:space="preserve">RANK POSITION: </w:t>
            </w:r>
            <w:r w:rsidR="004778C8">
              <w:rPr>
                <w:b/>
                <w:sz w:val="28"/>
                <w:szCs w:val="28"/>
              </w:rPr>
              <w:t>7</w:t>
            </w:r>
            <w:r>
              <w:rPr>
                <w:b/>
                <w:sz w:val="28"/>
                <w:szCs w:val="28"/>
              </w:rPr>
              <w:t xml:space="preserve">   RANK MOVEMENT:</w:t>
            </w:r>
            <w:r w:rsidR="004778C8">
              <w:rPr>
                <w:b/>
                <w:sz w:val="28"/>
                <w:szCs w:val="28"/>
              </w:rPr>
              <w:t xml:space="preserve"> 0</w:t>
            </w:r>
            <w:r w:rsidR="008E5FE9">
              <w:rPr>
                <w:b/>
                <w:sz w:val="28"/>
                <w:szCs w:val="28"/>
              </w:rPr>
              <w:t xml:space="preserve"> </w:t>
            </w:r>
            <w:r w:rsidR="008E5FE9" w:rsidRPr="00A83E3B">
              <w:rPr>
                <w:b/>
                <w:color w:val="0070C0"/>
                <w:sz w:val="28"/>
                <w:szCs w:val="28"/>
              </w:rPr>
              <w:sym w:font="Wingdings" w:char="F0E8"/>
            </w:r>
            <w:r w:rsidR="008E5FE9">
              <w:rPr>
                <w:b/>
                <w:color w:val="0070C0"/>
                <w:sz w:val="28"/>
                <w:szCs w:val="28"/>
              </w:rPr>
              <w:t xml:space="preserve">  </w:t>
            </w:r>
            <w:r>
              <w:rPr>
                <w:b/>
                <w:sz w:val="28"/>
                <w:szCs w:val="28"/>
              </w:rPr>
              <w:t xml:space="preserve"> </w:t>
            </w:r>
          </w:p>
        </w:tc>
        <w:tc>
          <w:tcPr>
            <w:tcW w:w="7801" w:type="dxa"/>
            <w:gridSpan w:val="2"/>
            <w:tcBorders>
              <w:top w:val="nil"/>
            </w:tcBorders>
            <w:shd w:val="clear" w:color="auto" w:fill="D9D9D9" w:themeFill="background1" w:themeFillShade="D9"/>
            <w:vAlign w:val="center"/>
          </w:tcPr>
          <w:p w14:paraId="228CDB4E" w14:textId="77777777" w:rsidR="00921119" w:rsidRPr="0074491D" w:rsidRDefault="00921119" w:rsidP="008A1C74">
            <w:pPr>
              <w:rPr>
                <w:sz w:val="28"/>
                <w:szCs w:val="28"/>
              </w:rPr>
            </w:pPr>
          </w:p>
        </w:tc>
      </w:tr>
      <w:tr w:rsidR="00921119" w:rsidRPr="0074491D" w14:paraId="0F60EABB" w14:textId="77777777" w:rsidTr="008A1C74">
        <w:trPr>
          <w:jc w:val="center"/>
        </w:trPr>
        <w:tc>
          <w:tcPr>
            <w:tcW w:w="15309" w:type="dxa"/>
            <w:gridSpan w:val="4"/>
          </w:tcPr>
          <w:p w14:paraId="19453618" w14:textId="77777777" w:rsidR="00921119" w:rsidRPr="00794345" w:rsidRDefault="00921119" w:rsidP="008A1C74">
            <w:pPr>
              <w:rPr>
                <w:sz w:val="6"/>
                <w:szCs w:val="6"/>
              </w:rPr>
            </w:pPr>
          </w:p>
          <w:p w14:paraId="0F38F0A4" w14:textId="77777777" w:rsidR="00921119" w:rsidRPr="0074491D" w:rsidRDefault="00921119" w:rsidP="00876CB3">
            <w:pPr>
              <w:spacing w:after="120"/>
              <w:rPr>
                <w:b/>
                <w:sz w:val="28"/>
                <w:szCs w:val="28"/>
              </w:rPr>
            </w:pPr>
            <w:r w:rsidRPr="0074491D">
              <w:rPr>
                <w:b/>
                <w:sz w:val="28"/>
                <w:szCs w:val="28"/>
              </w:rPr>
              <w:t>TELLING OUR STORY:</w:t>
            </w:r>
          </w:p>
          <w:p w14:paraId="212B636D" w14:textId="1E02B98D" w:rsidR="007828F1" w:rsidRPr="00036039" w:rsidRDefault="000D2B5A" w:rsidP="00876CB3">
            <w:pPr>
              <w:pStyle w:val="Default"/>
              <w:spacing w:after="120"/>
              <w:rPr>
                <w:rFonts w:asciiTheme="minorHAnsi" w:hAnsiTheme="minorHAnsi" w:cstheme="minorHAnsi"/>
              </w:rPr>
            </w:pPr>
            <w:r w:rsidRPr="00036039">
              <w:rPr>
                <w:rFonts w:asciiTheme="minorHAnsi" w:hAnsiTheme="minorHAnsi" w:cstheme="minorHAnsi"/>
              </w:rPr>
              <w:t xml:space="preserve">This indicator is looking at the combined cost of trading standards and environmental health. </w:t>
            </w:r>
            <w:r w:rsidR="007828F1" w:rsidRPr="00036039">
              <w:rPr>
                <w:rFonts w:asciiTheme="minorHAnsi" w:hAnsiTheme="minorHAnsi" w:cstheme="minorHAnsi"/>
              </w:rPr>
              <w:t>(See also ENV5a (included under Legal and Regulatory Services) and ENV5b (included under Development and Economic Growth.)</w:t>
            </w:r>
          </w:p>
          <w:p w14:paraId="29AB4023" w14:textId="212BFC35" w:rsidR="007105D8" w:rsidRPr="00036039" w:rsidRDefault="007105D8" w:rsidP="00876CB3">
            <w:pPr>
              <w:pStyle w:val="Default"/>
              <w:spacing w:after="120"/>
              <w:rPr>
                <w:rFonts w:asciiTheme="minorHAnsi" w:hAnsiTheme="minorHAnsi" w:cstheme="minorHAnsi"/>
              </w:rPr>
            </w:pPr>
            <w:r w:rsidRPr="00036039">
              <w:rPr>
                <w:rFonts w:asciiTheme="minorHAnsi" w:hAnsiTheme="minorHAnsi" w:cstheme="minorHAnsi"/>
              </w:rPr>
              <w:t>Argyll and Bute's performance for this combined indicator has improved compared to the previous year (2017/18). Improvement in this indicator has been driven by reduced costs in Evironmental Health (indicator ENV5b). By contrast, costs reflected in ENV5a (Trading Standards, Money Advice, and Citizen Advice) have increased.</w:t>
            </w:r>
          </w:p>
          <w:p w14:paraId="12A43346" w14:textId="2835BEEB" w:rsidR="000D2B5A" w:rsidRPr="00036039" w:rsidRDefault="007105D8" w:rsidP="00876CB3">
            <w:pPr>
              <w:pStyle w:val="Default"/>
              <w:spacing w:after="120"/>
              <w:rPr>
                <w:rFonts w:asciiTheme="minorHAnsi" w:hAnsiTheme="minorHAnsi" w:cstheme="minorHAnsi"/>
              </w:rPr>
            </w:pPr>
            <w:r w:rsidRPr="00036039">
              <w:rPr>
                <w:rFonts w:asciiTheme="minorHAnsi" w:hAnsiTheme="minorHAnsi" w:cstheme="minorHAnsi"/>
              </w:rPr>
              <w:t>Across the lifetime of the LGBF, Argyll and Bute's performance with regard to this indicator has not matched the Scotland-wide trend of a more sustained reduction in costs.</w:t>
            </w:r>
          </w:p>
          <w:p w14:paraId="167486B7" w14:textId="3455161D" w:rsidR="007828F1" w:rsidRPr="00CE646C" w:rsidRDefault="000D2B5A" w:rsidP="00876CB3">
            <w:pPr>
              <w:spacing w:after="120"/>
              <w:rPr>
                <w:rFonts w:ascii="Arial" w:hAnsi="Arial" w:cs="Arial"/>
                <w:szCs w:val="24"/>
              </w:rPr>
            </w:pPr>
            <w:r w:rsidRPr="00036039">
              <w:rPr>
                <w:rFonts w:cstheme="minorHAnsi"/>
                <w:sz w:val="24"/>
                <w:szCs w:val="24"/>
              </w:rPr>
              <w:t>This indicator is adversely affected by the declining population within Argyll and Bute, whereas the national figure is aided by an increase in population across Scotland.</w:t>
            </w:r>
          </w:p>
        </w:tc>
      </w:tr>
      <w:tr w:rsidR="00921119" w:rsidRPr="0074491D" w14:paraId="439D1469" w14:textId="77777777" w:rsidTr="008A1C74">
        <w:trPr>
          <w:jc w:val="center"/>
        </w:trPr>
        <w:tc>
          <w:tcPr>
            <w:tcW w:w="15309" w:type="dxa"/>
            <w:gridSpan w:val="4"/>
          </w:tcPr>
          <w:p w14:paraId="1419D005" w14:textId="77777777" w:rsidR="00921119" w:rsidRPr="00CE646C" w:rsidRDefault="00921119" w:rsidP="008A1C74">
            <w:pPr>
              <w:rPr>
                <w:sz w:val="6"/>
                <w:szCs w:val="6"/>
              </w:rPr>
            </w:pPr>
          </w:p>
          <w:p w14:paraId="3D4DF941" w14:textId="77777777" w:rsidR="00921119" w:rsidRDefault="00921119" w:rsidP="00876CB3">
            <w:pPr>
              <w:spacing w:after="120"/>
              <w:rPr>
                <w:b/>
                <w:sz w:val="28"/>
                <w:szCs w:val="28"/>
              </w:rPr>
            </w:pPr>
            <w:r>
              <w:rPr>
                <w:b/>
                <w:sz w:val="28"/>
                <w:szCs w:val="28"/>
              </w:rPr>
              <w:t>LOOKING FORWARD - EXPECTED IMPACT ON INDICATOR</w:t>
            </w:r>
            <w:r w:rsidRPr="0074491D">
              <w:rPr>
                <w:b/>
                <w:sz w:val="28"/>
                <w:szCs w:val="28"/>
              </w:rPr>
              <w:t>:</w:t>
            </w:r>
            <w:r>
              <w:rPr>
                <w:b/>
                <w:sz w:val="28"/>
                <w:szCs w:val="28"/>
              </w:rPr>
              <w:t xml:space="preserve">  </w:t>
            </w:r>
          </w:p>
          <w:p w14:paraId="735FF73F" w14:textId="444BEDD2" w:rsidR="000F4CDF" w:rsidRPr="00794345" w:rsidRDefault="000F4CDF" w:rsidP="00876CB3">
            <w:pPr>
              <w:spacing w:after="120"/>
              <w:rPr>
                <w:rFonts w:ascii="Arial" w:hAnsi="Arial" w:cs="Arial"/>
              </w:rPr>
            </w:pPr>
            <w:r w:rsidRPr="000F4CDF">
              <w:rPr>
                <w:rFonts w:cstheme="minorHAnsi"/>
                <w:sz w:val="24"/>
                <w:szCs w:val="24"/>
              </w:rPr>
              <w:lastRenderedPageBreak/>
              <w:t>See indicators ENV5a and ENV5b.</w:t>
            </w:r>
          </w:p>
        </w:tc>
      </w:tr>
    </w:tbl>
    <w:p w14:paraId="7C24E8F7" w14:textId="77777777" w:rsidR="00921119" w:rsidRDefault="00921119" w:rsidP="00921119">
      <w:r>
        <w:lastRenderedPageBreak/>
        <w:br w:type="page"/>
      </w:r>
    </w:p>
    <w:tbl>
      <w:tblPr>
        <w:tblStyle w:val="TableGrid6"/>
        <w:tblW w:w="15309" w:type="dxa"/>
        <w:jc w:val="center"/>
        <w:tblLook w:val="04A0" w:firstRow="1" w:lastRow="0" w:firstColumn="1" w:lastColumn="0" w:noHBand="0" w:noVBand="1"/>
      </w:tblPr>
      <w:tblGrid>
        <w:gridCol w:w="5949"/>
        <w:gridCol w:w="1559"/>
        <w:gridCol w:w="6095"/>
        <w:gridCol w:w="1706"/>
      </w:tblGrid>
      <w:tr w:rsidR="00921119" w:rsidRPr="005D65E6" w14:paraId="39B97A04" w14:textId="77777777" w:rsidTr="008A1C74">
        <w:trPr>
          <w:trHeight w:val="794"/>
          <w:jc w:val="center"/>
        </w:trPr>
        <w:tc>
          <w:tcPr>
            <w:tcW w:w="15309" w:type="dxa"/>
            <w:gridSpan w:val="4"/>
            <w:vAlign w:val="center"/>
          </w:tcPr>
          <w:p w14:paraId="2F0A505B" w14:textId="3DD97FBB" w:rsidR="00921119" w:rsidRPr="005D65E6" w:rsidRDefault="00921119" w:rsidP="00921119">
            <w:pPr>
              <w:rPr>
                <w:b/>
                <w:sz w:val="32"/>
              </w:rPr>
            </w:pPr>
            <w:r w:rsidRPr="005D65E6">
              <w:rPr>
                <w:b/>
                <w:sz w:val="32"/>
              </w:rPr>
              <w:lastRenderedPageBreak/>
              <w:t xml:space="preserve">SERVICE: </w:t>
            </w:r>
            <w:r>
              <w:rPr>
                <w:b/>
                <w:sz w:val="32"/>
              </w:rPr>
              <w:t>LEGAL AND REGULATORY</w:t>
            </w:r>
          </w:p>
        </w:tc>
      </w:tr>
      <w:tr w:rsidR="00921119" w:rsidRPr="005B1C4B" w14:paraId="35D3BF03" w14:textId="77777777" w:rsidTr="008A1C74">
        <w:trPr>
          <w:trHeight w:val="567"/>
          <w:jc w:val="center"/>
        </w:trPr>
        <w:tc>
          <w:tcPr>
            <w:tcW w:w="15309" w:type="dxa"/>
            <w:gridSpan w:val="4"/>
            <w:vAlign w:val="center"/>
          </w:tcPr>
          <w:p w14:paraId="1B8AC5D2" w14:textId="77777777" w:rsidR="00921119" w:rsidRPr="005B1C4B" w:rsidRDefault="00921119" w:rsidP="008A1C74">
            <w:pPr>
              <w:pStyle w:val="Heading1"/>
              <w:spacing w:before="0"/>
              <w:outlineLvl w:val="0"/>
              <w:rPr>
                <w:b/>
                <w:color w:val="auto"/>
              </w:rPr>
            </w:pPr>
            <w:bookmarkStart w:id="54" w:name="_Toc56757732"/>
            <w:r w:rsidRPr="005B1C4B">
              <w:rPr>
                <w:b/>
                <w:color w:val="auto"/>
              </w:rPr>
              <w:t>INDICATOR REF: ENV5a - Cost of trading standards, money advice &amp; citizen advice per 1</w:t>
            </w:r>
            <w:r>
              <w:rPr>
                <w:b/>
                <w:color w:val="auto"/>
              </w:rPr>
              <w:t>,</w:t>
            </w:r>
            <w:r w:rsidRPr="005B1C4B">
              <w:rPr>
                <w:b/>
                <w:color w:val="auto"/>
              </w:rPr>
              <w:t>000 population</w:t>
            </w:r>
            <w:bookmarkEnd w:id="54"/>
            <w:r w:rsidRPr="005B1C4B">
              <w:rPr>
                <w:b/>
                <w:color w:val="auto"/>
              </w:rPr>
              <w:tab/>
            </w:r>
            <w:r>
              <w:rPr>
                <w:b/>
                <w:color w:val="auto"/>
              </w:rPr>
              <w:tab/>
            </w:r>
          </w:p>
        </w:tc>
      </w:tr>
      <w:tr w:rsidR="00921119" w:rsidRPr="0074491D" w14:paraId="01ECDF7D" w14:textId="77777777" w:rsidTr="008A1C74">
        <w:trPr>
          <w:trHeight w:val="454"/>
          <w:jc w:val="center"/>
        </w:trPr>
        <w:tc>
          <w:tcPr>
            <w:tcW w:w="15309" w:type="dxa"/>
            <w:gridSpan w:val="4"/>
            <w:vAlign w:val="center"/>
          </w:tcPr>
          <w:p w14:paraId="1753B8FF" w14:textId="7049CBF8" w:rsidR="00921119" w:rsidRPr="00ED5731" w:rsidRDefault="00921119" w:rsidP="008A1C74">
            <w:pPr>
              <w:jc w:val="center"/>
              <w:rPr>
                <w:b/>
                <w:color w:val="0070C0"/>
                <w:sz w:val="28"/>
                <w:szCs w:val="28"/>
              </w:rPr>
            </w:pPr>
            <w:r>
              <w:rPr>
                <w:b/>
                <w:color w:val="0070C0"/>
                <w:sz w:val="28"/>
                <w:szCs w:val="28"/>
              </w:rPr>
              <w:t>Performance Range: £</w:t>
            </w:r>
            <w:r w:rsidR="004778C8">
              <w:rPr>
                <w:b/>
                <w:color w:val="0070C0"/>
                <w:sz w:val="28"/>
                <w:szCs w:val="28"/>
              </w:rPr>
              <w:t>1,304</w:t>
            </w:r>
            <w:r>
              <w:rPr>
                <w:b/>
                <w:color w:val="0070C0"/>
                <w:sz w:val="28"/>
                <w:szCs w:val="28"/>
              </w:rPr>
              <w:t xml:space="preserve"> to £</w:t>
            </w:r>
            <w:r w:rsidR="004778C8">
              <w:rPr>
                <w:b/>
                <w:color w:val="0070C0"/>
                <w:sz w:val="28"/>
                <w:szCs w:val="28"/>
              </w:rPr>
              <w:t>14,354</w:t>
            </w:r>
            <w:r>
              <w:rPr>
                <w:b/>
                <w:color w:val="0070C0"/>
                <w:sz w:val="28"/>
                <w:szCs w:val="28"/>
              </w:rPr>
              <w:t xml:space="preserve">  </w:t>
            </w:r>
            <w:r w:rsidRPr="00BE08CC">
              <w:rPr>
                <w:b/>
                <w:color w:val="0070C0"/>
                <w:sz w:val="28"/>
                <w:szCs w:val="28"/>
              </w:rPr>
              <w:t>(Lowest is best)</w:t>
            </w:r>
          </w:p>
        </w:tc>
      </w:tr>
      <w:tr w:rsidR="00921119" w:rsidRPr="0074491D" w14:paraId="3E3594A8" w14:textId="77777777" w:rsidTr="008A1C74">
        <w:trPr>
          <w:trHeight w:val="397"/>
          <w:jc w:val="center"/>
        </w:trPr>
        <w:tc>
          <w:tcPr>
            <w:tcW w:w="7508" w:type="dxa"/>
            <w:gridSpan w:val="2"/>
            <w:shd w:val="clear" w:color="auto" w:fill="D9E2F3" w:themeFill="accent5" w:themeFillTint="33"/>
            <w:vAlign w:val="center"/>
          </w:tcPr>
          <w:p w14:paraId="77467182" w14:textId="77777777" w:rsidR="00921119" w:rsidRPr="0074491D" w:rsidRDefault="00921119" w:rsidP="008A1C74">
            <w:pPr>
              <w:jc w:val="center"/>
              <w:rPr>
                <w:b/>
                <w:sz w:val="28"/>
                <w:szCs w:val="28"/>
              </w:rPr>
            </w:pPr>
            <w:r w:rsidRPr="0074491D">
              <w:rPr>
                <w:b/>
                <w:sz w:val="28"/>
                <w:szCs w:val="28"/>
              </w:rPr>
              <w:t>ARGYLL AND BUTE</w:t>
            </w:r>
          </w:p>
        </w:tc>
        <w:tc>
          <w:tcPr>
            <w:tcW w:w="7801" w:type="dxa"/>
            <w:gridSpan w:val="2"/>
            <w:shd w:val="clear" w:color="auto" w:fill="D9E2F3" w:themeFill="accent5" w:themeFillTint="33"/>
            <w:vAlign w:val="center"/>
          </w:tcPr>
          <w:p w14:paraId="647D83C9" w14:textId="77777777" w:rsidR="00921119" w:rsidRPr="0074491D" w:rsidRDefault="00921119" w:rsidP="008A1C74">
            <w:pPr>
              <w:jc w:val="center"/>
              <w:rPr>
                <w:b/>
                <w:sz w:val="28"/>
                <w:szCs w:val="28"/>
              </w:rPr>
            </w:pPr>
            <w:r w:rsidRPr="0074491D">
              <w:rPr>
                <w:b/>
                <w:sz w:val="28"/>
                <w:szCs w:val="28"/>
              </w:rPr>
              <w:t>SCOTLAND</w:t>
            </w:r>
          </w:p>
        </w:tc>
      </w:tr>
      <w:tr w:rsidR="00921119" w:rsidRPr="0074491D" w14:paraId="1B04F7E0" w14:textId="77777777" w:rsidTr="008A1C74">
        <w:trPr>
          <w:trHeight w:val="397"/>
          <w:jc w:val="center"/>
        </w:trPr>
        <w:tc>
          <w:tcPr>
            <w:tcW w:w="7508" w:type="dxa"/>
            <w:gridSpan w:val="2"/>
            <w:vAlign w:val="center"/>
          </w:tcPr>
          <w:p w14:paraId="2894B452" w14:textId="5209A9B5" w:rsidR="00921119" w:rsidRPr="00721B18" w:rsidRDefault="00921119" w:rsidP="008A1C74">
            <w:pPr>
              <w:jc w:val="center"/>
              <w:rPr>
                <w:b/>
                <w:sz w:val="28"/>
                <w:szCs w:val="28"/>
              </w:rPr>
            </w:pPr>
            <w:r>
              <w:rPr>
                <w:b/>
                <w:sz w:val="28"/>
                <w:szCs w:val="28"/>
              </w:rPr>
              <w:t>£</w:t>
            </w:r>
            <w:r w:rsidR="004778C8">
              <w:rPr>
                <w:b/>
                <w:sz w:val="28"/>
                <w:szCs w:val="28"/>
              </w:rPr>
              <w:t>11,361</w:t>
            </w:r>
          </w:p>
        </w:tc>
        <w:tc>
          <w:tcPr>
            <w:tcW w:w="7801" w:type="dxa"/>
            <w:gridSpan w:val="2"/>
            <w:vAlign w:val="center"/>
          </w:tcPr>
          <w:p w14:paraId="6BD6659C" w14:textId="51EE1664" w:rsidR="00921119" w:rsidRPr="0074491D" w:rsidRDefault="00921119" w:rsidP="008A1C74">
            <w:pPr>
              <w:tabs>
                <w:tab w:val="left" w:pos="3193"/>
              </w:tabs>
              <w:jc w:val="center"/>
              <w:rPr>
                <w:b/>
                <w:sz w:val="28"/>
                <w:szCs w:val="28"/>
              </w:rPr>
            </w:pPr>
            <w:r>
              <w:rPr>
                <w:b/>
                <w:sz w:val="28"/>
                <w:szCs w:val="28"/>
              </w:rPr>
              <w:t>£</w:t>
            </w:r>
            <w:r w:rsidR="004778C8">
              <w:rPr>
                <w:b/>
                <w:sz w:val="28"/>
                <w:szCs w:val="28"/>
              </w:rPr>
              <w:t>5,890</w:t>
            </w:r>
          </w:p>
        </w:tc>
      </w:tr>
      <w:tr w:rsidR="00921119" w:rsidRPr="0074491D" w14:paraId="7DD150D7" w14:textId="77777777" w:rsidTr="008A1C74">
        <w:trPr>
          <w:trHeight w:val="397"/>
          <w:jc w:val="center"/>
        </w:trPr>
        <w:tc>
          <w:tcPr>
            <w:tcW w:w="5949" w:type="dxa"/>
            <w:vAlign w:val="center"/>
          </w:tcPr>
          <w:p w14:paraId="28A61CED" w14:textId="77777777" w:rsidR="00921119" w:rsidRPr="00721B18" w:rsidRDefault="00921119" w:rsidP="008A1C74">
            <w:pPr>
              <w:jc w:val="center"/>
              <w:rPr>
                <w:b/>
                <w:sz w:val="28"/>
                <w:szCs w:val="28"/>
              </w:rPr>
            </w:pPr>
            <w:r w:rsidRPr="00721B18">
              <w:rPr>
                <w:b/>
                <w:sz w:val="28"/>
                <w:szCs w:val="28"/>
              </w:rPr>
              <w:t>CHANGE 201</w:t>
            </w:r>
            <w:r>
              <w:rPr>
                <w:b/>
                <w:sz w:val="28"/>
                <w:szCs w:val="28"/>
              </w:rPr>
              <w:t>7</w:t>
            </w:r>
            <w:r w:rsidRPr="00721B18">
              <w:rPr>
                <w:b/>
                <w:sz w:val="28"/>
                <w:szCs w:val="28"/>
              </w:rPr>
              <w:t>/1</w:t>
            </w:r>
            <w:r>
              <w:rPr>
                <w:b/>
                <w:sz w:val="28"/>
                <w:szCs w:val="28"/>
              </w:rPr>
              <w:t>8</w:t>
            </w:r>
            <w:r w:rsidRPr="00721B18">
              <w:rPr>
                <w:b/>
                <w:sz w:val="28"/>
                <w:szCs w:val="28"/>
              </w:rPr>
              <w:t xml:space="preserve"> TO </w:t>
            </w:r>
            <w:r>
              <w:rPr>
                <w:b/>
                <w:sz w:val="28"/>
                <w:szCs w:val="28"/>
              </w:rPr>
              <w:t>2018/19</w:t>
            </w:r>
          </w:p>
        </w:tc>
        <w:tc>
          <w:tcPr>
            <w:tcW w:w="1559" w:type="dxa"/>
            <w:vAlign w:val="center"/>
          </w:tcPr>
          <w:p w14:paraId="07B06DB1" w14:textId="01B82861" w:rsidR="00921119" w:rsidRPr="00721B18" w:rsidRDefault="004778C8" w:rsidP="008A1C74">
            <w:pPr>
              <w:jc w:val="center"/>
              <w:rPr>
                <w:b/>
                <w:sz w:val="28"/>
                <w:szCs w:val="28"/>
              </w:rPr>
            </w:pPr>
            <w:r>
              <w:rPr>
                <w:b/>
                <w:sz w:val="28"/>
                <w:szCs w:val="28"/>
              </w:rPr>
              <w:t>17.04</w:t>
            </w:r>
            <w:r w:rsidR="00921119">
              <w:rPr>
                <w:b/>
                <w:sz w:val="28"/>
                <w:szCs w:val="28"/>
              </w:rPr>
              <w:t>%</w:t>
            </w:r>
            <w:r w:rsidR="000145F5">
              <w:rPr>
                <w:b/>
                <w:sz w:val="28"/>
                <w:szCs w:val="28"/>
              </w:rPr>
              <w:t xml:space="preserve"> </w:t>
            </w:r>
            <w:r w:rsidR="000145F5" w:rsidRPr="00C14931">
              <w:rPr>
                <w:b/>
                <w:color w:val="FF0000"/>
                <w:sz w:val="28"/>
                <w:szCs w:val="28"/>
              </w:rPr>
              <w:sym w:font="Wingdings" w:char="F0E9"/>
            </w:r>
          </w:p>
        </w:tc>
        <w:tc>
          <w:tcPr>
            <w:tcW w:w="6095" w:type="dxa"/>
            <w:vAlign w:val="center"/>
          </w:tcPr>
          <w:p w14:paraId="166CDE9E" w14:textId="77777777" w:rsidR="00921119" w:rsidRPr="0074491D" w:rsidRDefault="00921119" w:rsidP="008A1C74">
            <w:pPr>
              <w:jc w:val="center"/>
              <w:rPr>
                <w:sz w:val="28"/>
                <w:szCs w:val="28"/>
              </w:rPr>
            </w:pPr>
            <w:r>
              <w:rPr>
                <w:sz w:val="28"/>
                <w:szCs w:val="28"/>
              </w:rPr>
              <w:t>CHANGE 2017/18 TO 2018/19</w:t>
            </w:r>
          </w:p>
        </w:tc>
        <w:tc>
          <w:tcPr>
            <w:tcW w:w="1706" w:type="dxa"/>
            <w:vAlign w:val="center"/>
          </w:tcPr>
          <w:p w14:paraId="69A51987" w14:textId="2FCB7165" w:rsidR="00921119" w:rsidRPr="0074491D" w:rsidRDefault="000145F5" w:rsidP="008A1C74">
            <w:pPr>
              <w:jc w:val="center"/>
              <w:rPr>
                <w:sz w:val="28"/>
                <w:szCs w:val="28"/>
              </w:rPr>
            </w:pPr>
            <w:r>
              <w:rPr>
                <w:sz w:val="28"/>
                <w:szCs w:val="28"/>
              </w:rPr>
              <w:t>-1.86</w:t>
            </w:r>
            <w:r w:rsidR="00921119">
              <w:rPr>
                <w:sz w:val="28"/>
                <w:szCs w:val="28"/>
              </w:rPr>
              <w:t>%</w:t>
            </w:r>
            <w:r>
              <w:rPr>
                <w:sz w:val="28"/>
                <w:szCs w:val="28"/>
              </w:rPr>
              <w:t xml:space="preserve"> </w:t>
            </w:r>
            <w:r w:rsidRPr="00EC5E64">
              <w:rPr>
                <w:b/>
                <w:color w:val="00B050"/>
                <w:sz w:val="28"/>
                <w:szCs w:val="28"/>
              </w:rPr>
              <w:sym w:font="Wingdings" w:char="F0EA"/>
            </w:r>
          </w:p>
        </w:tc>
      </w:tr>
      <w:tr w:rsidR="00921119" w:rsidRPr="0074491D" w14:paraId="62AE3AFC" w14:textId="77777777" w:rsidTr="008A1C74">
        <w:trPr>
          <w:trHeight w:val="397"/>
          <w:jc w:val="center"/>
        </w:trPr>
        <w:tc>
          <w:tcPr>
            <w:tcW w:w="5949" w:type="dxa"/>
            <w:vAlign w:val="center"/>
          </w:tcPr>
          <w:p w14:paraId="62175186" w14:textId="77777777" w:rsidR="00921119" w:rsidRPr="00721B18" w:rsidRDefault="00921119" w:rsidP="008A1C74">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2018/19</w:t>
            </w:r>
          </w:p>
        </w:tc>
        <w:tc>
          <w:tcPr>
            <w:tcW w:w="1559" w:type="dxa"/>
            <w:vAlign w:val="center"/>
          </w:tcPr>
          <w:p w14:paraId="339F609D" w14:textId="2850786C" w:rsidR="00921119" w:rsidRPr="00721B18" w:rsidRDefault="004778C8" w:rsidP="008A1C74">
            <w:pPr>
              <w:jc w:val="center"/>
              <w:rPr>
                <w:b/>
                <w:sz w:val="28"/>
                <w:szCs w:val="28"/>
              </w:rPr>
            </w:pPr>
            <w:r>
              <w:rPr>
                <w:b/>
                <w:sz w:val="28"/>
                <w:szCs w:val="28"/>
              </w:rPr>
              <w:t>74.39</w:t>
            </w:r>
            <w:r w:rsidR="00921119">
              <w:rPr>
                <w:b/>
                <w:sz w:val="28"/>
                <w:szCs w:val="28"/>
              </w:rPr>
              <w:t>%</w:t>
            </w:r>
            <w:r w:rsidR="000145F5">
              <w:rPr>
                <w:b/>
                <w:sz w:val="28"/>
                <w:szCs w:val="28"/>
              </w:rPr>
              <w:t xml:space="preserve"> </w:t>
            </w:r>
            <w:r w:rsidR="000145F5" w:rsidRPr="00C14931">
              <w:rPr>
                <w:b/>
                <w:color w:val="FF0000"/>
                <w:sz w:val="28"/>
                <w:szCs w:val="28"/>
              </w:rPr>
              <w:sym w:font="Wingdings" w:char="F0E9"/>
            </w:r>
          </w:p>
        </w:tc>
        <w:tc>
          <w:tcPr>
            <w:tcW w:w="6095" w:type="dxa"/>
            <w:tcBorders>
              <w:bottom w:val="single" w:sz="4" w:space="0" w:color="auto"/>
            </w:tcBorders>
            <w:vAlign w:val="center"/>
          </w:tcPr>
          <w:p w14:paraId="044A4633" w14:textId="77777777" w:rsidR="00921119" w:rsidRPr="0074491D" w:rsidRDefault="00921119" w:rsidP="008A1C74">
            <w:pPr>
              <w:jc w:val="center"/>
              <w:rPr>
                <w:sz w:val="28"/>
                <w:szCs w:val="28"/>
              </w:rPr>
            </w:pPr>
            <w:r>
              <w:rPr>
                <w:sz w:val="28"/>
                <w:szCs w:val="28"/>
              </w:rPr>
              <w:t xml:space="preserve">CHANGE </w:t>
            </w:r>
            <w:r w:rsidRPr="00903E39">
              <w:rPr>
                <w:sz w:val="28"/>
                <w:szCs w:val="28"/>
              </w:rPr>
              <w:t xml:space="preserve">BASE YEAR </w:t>
            </w:r>
            <w:r>
              <w:rPr>
                <w:sz w:val="28"/>
                <w:szCs w:val="28"/>
              </w:rPr>
              <w:t>TO 2018/19</w:t>
            </w:r>
          </w:p>
        </w:tc>
        <w:tc>
          <w:tcPr>
            <w:tcW w:w="1706" w:type="dxa"/>
            <w:tcBorders>
              <w:bottom w:val="single" w:sz="4" w:space="0" w:color="auto"/>
            </w:tcBorders>
            <w:vAlign w:val="center"/>
          </w:tcPr>
          <w:p w14:paraId="3073B9DE" w14:textId="572EDBD2" w:rsidR="00921119" w:rsidRPr="0074491D" w:rsidRDefault="000145F5" w:rsidP="008A1C74">
            <w:pPr>
              <w:jc w:val="center"/>
              <w:rPr>
                <w:sz w:val="28"/>
                <w:szCs w:val="28"/>
              </w:rPr>
            </w:pPr>
            <w:r>
              <w:rPr>
                <w:sz w:val="28"/>
                <w:szCs w:val="28"/>
              </w:rPr>
              <w:t>4.05</w:t>
            </w:r>
            <w:r w:rsidR="00921119">
              <w:rPr>
                <w:sz w:val="28"/>
                <w:szCs w:val="28"/>
              </w:rPr>
              <w:t>%</w:t>
            </w:r>
            <w:r>
              <w:rPr>
                <w:sz w:val="28"/>
                <w:szCs w:val="28"/>
              </w:rPr>
              <w:t xml:space="preserve"> </w:t>
            </w:r>
            <w:r w:rsidRPr="00C14931">
              <w:rPr>
                <w:b/>
                <w:color w:val="FF0000"/>
                <w:sz w:val="28"/>
                <w:szCs w:val="28"/>
              </w:rPr>
              <w:sym w:font="Wingdings" w:char="F0E9"/>
            </w:r>
          </w:p>
        </w:tc>
      </w:tr>
      <w:tr w:rsidR="00921119" w:rsidRPr="0074491D" w14:paraId="6A5B12BC" w14:textId="77777777" w:rsidTr="008A1C74">
        <w:trPr>
          <w:trHeight w:val="397"/>
          <w:jc w:val="center"/>
        </w:trPr>
        <w:tc>
          <w:tcPr>
            <w:tcW w:w="7508" w:type="dxa"/>
            <w:gridSpan w:val="2"/>
            <w:tcBorders>
              <w:bottom w:val="single" w:sz="4" w:space="0" w:color="auto"/>
            </w:tcBorders>
            <w:vAlign w:val="center"/>
          </w:tcPr>
          <w:p w14:paraId="5119BE5F" w14:textId="226681EA" w:rsidR="00921119" w:rsidRPr="00721B18" w:rsidRDefault="00921119" w:rsidP="00921119">
            <w:pPr>
              <w:jc w:val="center"/>
              <w:rPr>
                <w:b/>
                <w:sz w:val="28"/>
                <w:szCs w:val="28"/>
              </w:rPr>
            </w:pPr>
            <w:r w:rsidRPr="00721B18">
              <w:rPr>
                <w:b/>
                <w:sz w:val="28"/>
                <w:szCs w:val="28"/>
              </w:rPr>
              <w:t>RANK POSITION:</w:t>
            </w:r>
            <w:r w:rsidR="004778C8">
              <w:rPr>
                <w:b/>
                <w:sz w:val="28"/>
                <w:szCs w:val="28"/>
              </w:rPr>
              <w:t xml:space="preserve"> 29 </w:t>
            </w:r>
            <w:r>
              <w:rPr>
                <w:b/>
                <w:sz w:val="28"/>
                <w:szCs w:val="28"/>
              </w:rPr>
              <w:t xml:space="preserve"> </w:t>
            </w:r>
            <w:r w:rsidRPr="00721B18">
              <w:rPr>
                <w:b/>
                <w:sz w:val="28"/>
                <w:szCs w:val="28"/>
              </w:rPr>
              <w:t xml:space="preserve">RANK MOVEMENT: </w:t>
            </w:r>
            <w:r w:rsidR="004778C8">
              <w:rPr>
                <w:b/>
                <w:sz w:val="28"/>
                <w:szCs w:val="28"/>
              </w:rPr>
              <w:t>-3</w:t>
            </w:r>
            <w:r w:rsidR="000145F5">
              <w:rPr>
                <w:b/>
                <w:sz w:val="28"/>
                <w:szCs w:val="28"/>
              </w:rPr>
              <w:t xml:space="preserve"> </w:t>
            </w:r>
            <w:r w:rsidR="000145F5" w:rsidRPr="00C14931">
              <w:rPr>
                <w:b/>
                <w:color w:val="FF0000"/>
                <w:sz w:val="28"/>
                <w:szCs w:val="28"/>
              </w:rPr>
              <w:sym w:font="Wingdings" w:char="F0EA"/>
            </w:r>
          </w:p>
        </w:tc>
        <w:tc>
          <w:tcPr>
            <w:tcW w:w="7801" w:type="dxa"/>
            <w:gridSpan w:val="2"/>
            <w:tcBorders>
              <w:bottom w:val="nil"/>
            </w:tcBorders>
            <w:shd w:val="clear" w:color="auto" w:fill="D9D9D9" w:themeFill="background1" w:themeFillShade="D9"/>
            <w:vAlign w:val="center"/>
          </w:tcPr>
          <w:p w14:paraId="63A920C5" w14:textId="77777777" w:rsidR="00921119" w:rsidRPr="0074491D" w:rsidRDefault="00921119" w:rsidP="008A1C74">
            <w:pPr>
              <w:rPr>
                <w:sz w:val="28"/>
                <w:szCs w:val="28"/>
              </w:rPr>
            </w:pPr>
          </w:p>
        </w:tc>
      </w:tr>
      <w:tr w:rsidR="00921119" w:rsidRPr="0074491D" w14:paraId="371E4CF2" w14:textId="77777777" w:rsidTr="008A1C74">
        <w:trPr>
          <w:trHeight w:val="397"/>
          <w:jc w:val="center"/>
        </w:trPr>
        <w:tc>
          <w:tcPr>
            <w:tcW w:w="7508" w:type="dxa"/>
            <w:gridSpan w:val="2"/>
            <w:tcBorders>
              <w:bottom w:val="nil"/>
            </w:tcBorders>
            <w:shd w:val="clear" w:color="auto" w:fill="D9E2F3" w:themeFill="accent5" w:themeFillTint="33"/>
            <w:vAlign w:val="center"/>
          </w:tcPr>
          <w:p w14:paraId="42EAA916" w14:textId="77777777" w:rsidR="00921119" w:rsidRPr="00721B18" w:rsidRDefault="00921119" w:rsidP="008A1C74">
            <w:pPr>
              <w:jc w:val="center"/>
              <w:rPr>
                <w:b/>
                <w:sz w:val="28"/>
                <w:szCs w:val="28"/>
              </w:rPr>
            </w:pPr>
            <w:r>
              <w:rPr>
                <w:b/>
                <w:sz w:val="28"/>
                <w:szCs w:val="28"/>
              </w:rPr>
              <w:t>FAMILY GROUP RANKING 2018/19</w:t>
            </w:r>
          </w:p>
        </w:tc>
        <w:tc>
          <w:tcPr>
            <w:tcW w:w="7801" w:type="dxa"/>
            <w:gridSpan w:val="2"/>
            <w:tcBorders>
              <w:top w:val="nil"/>
              <w:bottom w:val="nil"/>
            </w:tcBorders>
            <w:shd w:val="clear" w:color="auto" w:fill="D9D9D9" w:themeFill="background1" w:themeFillShade="D9"/>
            <w:vAlign w:val="center"/>
          </w:tcPr>
          <w:p w14:paraId="3F659552" w14:textId="77777777" w:rsidR="00921119" w:rsidRPr="0074491D" w:rsidRDefault="00921119" w:rsidP="008A1C74">
            <w:pPr>
              <w:rPr>
                <w:sz w:val="28"/>
                <w:szCs w:val="28"/>
              </w:rPr>
            </w:pPr>
          </w:p>
        </w:tc>
      </w:tr>
      <w:tr w:rsidR="00921119" w:rsidRPr="0074491D" w14:paraId="1A2C2141" w14:textId="77777777" w:rsidTr="008A1C74">
        <w:trPr>
          <w:trHeight w:val="397"/>
          <w:jc w:val="center"/>
        </w:trPr>
        <w:tc>
          <w:tcPr>
            <w:tcW w:w="7508" w:type="dxa"/>
            <w:gridSpan w:val="2"/>
            <w:tcBorders>
              <w:top w:val="nil"/>
            </w:tcBorders>
            <w:shd w:val="clear" w:color="auto" w:fill="D9E2F3" w:themeFill="accent5" w:themeFillTint="33"/>
            <w:vAlign w:val="center"/>
          </w:tcPr>
          <w:p w14:paraId="207AB7CF" w14:textId="01E7FC9C" w:rsidR="00921119" w:rsidRDefault="00921119" w:rsidP="008A1C74">
            <w:pPr>
              <w:jc w:val="center"/>
              <w:rPr>
                <w:b/>
                <w:sz w:val="28"/>
                <w:szCs w:val="28"/>
              </w:rPr>
            </w:pPr>
            <w:r>
              <w:rPr>
                <w:b/>
                <w:sz w:val="28"/>
                <w:szCs w:val="28"/>
              </w:rPr>
              <w:t xml:space="preserve">RANK POSITION: </w:t>
            </w:r>
            <w:r w:rsidR="004778C8">
              <w:rPr>
                <w:b/>
                <w:sz w:val="28"/>
                <w:szCs w:val="28"/>
              </w:rPr>
              <w:t>6</w:t>
            </w:r>
            <w:r>
              <w:rPr>
                <w:b/>
                <w:sz w:val="28"/>
                <w:szCs w:val="28"/>
              </w:rPr>
              <w:t xml:space="preserve">   RANK MOVEMENT: </w:t>
            </w:r>
            <w:r w:rsidR="004778C8">
              <w:rPr>
                <w:b/>
                <w:sz w:val="28"/>
                <w:szCs w:val="28"/>
              </w:rPr>
              <w:t>-1</w:t>
            </w:r>
            <w:r w:rsidR="000145F5">
              <w:rPr>
                <w:b/>
                <w:sz w:val="28"/>
                <w:szCs w:val="28"/>
              </w:rPr>
              <w:t xml:space="preserve"> </w:t>
            </w:r>
            <w:r w:rsidR="000145F5" w:rsidRPr="00C14931">
              <w:rPr>
                <w:b/>
                <w:color w:val="FF0000"/>
                <w:sz w:val="28"/>
                <w:szCs w:val="28"/>
              </w:rPr>
              <w:sym w:font="Wingdings" w:char="F0EA"/>
            </w:r>
          </w:p>
        </w:tc>
        <w:tc>
          <w:tcPr>
            <w:tcW w:w="7801" w:type="dxa"/>
            <w:gridSpan w:val="2"/>
            <w:tcBorders>
              <w:top w:val="nil"/>
            </w:tcBorders>
            <w:shd w:val="clear" w:color="auto" w:fill="D9D9D9" w:themeFill="background1" w:themeFillShade="D9"/>
            <w:vAlign w:val="center"/>
          </w:tcPr>
          <w:p w14:paraId="1EEA3626" w14:textId="77777777" w:rsidR="00921119" w:rsidRPr="0074491D" w:rsidRDefault="00921119" w:rsidP="008A1C74">
            <w:pPr>
              <w:rPr>
                <w:sz w:val="28"/>
                <w:szCs w:val="28"/>
              </w:rPr>
            </w:pPr>
          </w:p>
        </w:tc>
      </w:tr>
      <w:tr w:rsidR="00921119" w:rsidRPr="0074491D" w14:paraId="5BE57813" w14:textId="77777777" w:rsidTr="008A1C74">
        <w:trPr>
          <w:jc w:val="center"/>
        </w:trPr>
        <w:tc>
          <w:tcPr>
            <w:tcW w:w="15309" w:type="dxa"/>
            <w:gridSpan w:val="4"/>
          </w:tcPr>
          <w:p w14:paraId="2A047F19" w14:textId="77777777" w:rsidR="00921119" w:rsidRPr="00CE646C" w:rsidRDefault="00921119" w:rsidP="008A1C74">
            <w:pPr>
              <w:rPr>
                <w:sz w:val="6"/>
                <w:szCs w:val="6"/>
              </w:rPr>
            </w:pPr>
          </w:p>
          <w:p w14:paraId="098CBCAD" w14:textId="77777777" w:rsidR="00921119" w:rsidRPr="0074491D" w:rsidRDefault="00921119" w:rsidP="00876CB3">
            <w:pPr>
              <w:spacing w:after="120"/>
              <w:rPr>
                <w:b/>
                <w:sz w:val="28"/>
                <w:szCs w:val="28"/>
              </w:rPr>
            </w:pPr>
            <w:r>
              <w:rPr>
                <w:b/>
                <w:sz w:val="28"/>
                <w:szCs w:val="28"/>
              </w:rPr>
              <w:t>T</w:t>
            </w:r>
            <w:r w:rsidRPr="0074491D">
              <w:rPr>
                <w:b/>
                <w:sz w:val="28"/>
                <w:szCs w:val="28"/>
              </w:rPr>
              <w:t>ELLING OUR STORY:</w:t>
            </w:r>
          </w:p>
          <w:p w14:paraId="2F774D34" w14:textId="4C6E0D26" w:rsidR="007105D8" w:rsidRPr="00036039" w:rsidRDefault="007105D8" w:rsidP="00876CB3">
            <w:pPr>
              <w:spacing w:after="120"/>
              <w:rPr>
                <w:rFonts w:cstheme="minorHAnsi"/>
                <w:sz w:val="24"/>
                <w:szCs w:val="24"/>
              </w:rPr>
            </w:pPr>
            <w:r w:rsidRPr="00036039">
              <w:rPr>
                <w:rFonts w:cstheme="minorHAnsi"/>
                <w:sz w:val="24"/>
                <w:szCs w:val="24"/>
              </w:rPr>
              <w:t>For the second year running, Cost of Trading Standards, Money Advice and Citizen Advice per 1,000 increased. This is reflected in Argyll and Bute's worsening ranking for this indicator.</w:t>
            </w:r>
          </w:p>
          <w:p w14:paraId="6E68D9FF" w14:textId="77777777" w:rsidR="000D2B5A" w:rsidRPr="00036039" w:rsidRDefault="000D2B5A" w:rsidP="00876CB3">
            <w:pPr>
              <w:spacing w:after="120"/>
              <w:rPr>
                <w:rFonts w:cstheme="minorHAnsi"/>
                <w:sz w:val="24"/>
                <w:szCs w:val="24"/>
              </w:rPr>
            </w:pPr>
            <w:r w:rsidRPr="00036039">
              <w:rPr>
                <w:rFonts w:cstheme="minorHAnsi"/>
                <w:sz w:val="24"/>
                <w:szCs w:val="24"/>
              </w:rPr>
              <w:t>This indicator is adversely affected by the declining population within Argyll and Bute, whereas the national figure is aided by an increase in population across Scotland.</w:t>
            </w:r>
          </w:p>
          <w:p w14:paraId="4461CE92" w14:textId="77777777" w:rsidR="00390400" w:rsidRDefault="007105D8" w:rsidP="00876CB3">
            <w:pPr>
              <w:spacing w:after="120"/>
              <w:rPr>
                <w:sz w:val="24"/>
                <w:szCs w:val="24"/>
              </w:rPr>
            </w:pPr>
            <w:r w:rsidRPr="00036039">
              <w:rPr>
                <w:rFonts w:cstheme="minorHAnsi"/>
                <w:sz w:val="24"/>
                <w:szCs w:val="24"/>
              </w:rPr>
              <w:t xml:space="preserve">Last year's report suggested that costs would reduce in 2018/19 and 2019/20 as a result of savings which have been made across trading standards and the redesign of advice services. </w:t>
            </w:r>
            <w:r w:rsidR="006045CA" w:rsidRPr="00036039">
              <w:rPr>
                <w:rFonts w:cstheme="minorHAnsi"/>
                <w:sz w:val="24"/>
                <w:szCs w:val="24"/>
              </w:rPr>
              <w:t>While these saving may yet be achieved, they have not been reflected in the LGBF for 2018/19.</w:t>
            </w:r>
            <w:r w:rsidR="00390400">
              <w:rPr>
                <w:rFonts w:cstheme="minorHAnsi"/>
                <w:sz w:val="24"/>
                <w:szCs w:val="24"/>
              </w:rPr>
              <w:t xml:space="preserve"> </w:t>
            </w:r>
            <w:r w:rsidR="00390400">
              <w:rPr>
                <w:sz w:val="24"/>
                <w:szCs w:val="24"/>
              </w:rPr>
              <w:t xml:space="preserve">While these saving have been achieved, they have not impacted on the LGBF for 2018/19 as there has been additional funding awarded to Argyll &amp; Bute Council in relation to the Big Lottery Funding for Money skills. This was also the contributory factor to the previous years’ increase. The indicator is based on gross expenditure which for 2018/19 has increased to £373k for Money Skills. This is illustrated in the table below: </w:t>
            </w:r>
          </w:p>
          <w:p w14:paraId="773E8FAD" w14:textId="77777777" w:rsidR="00390400" w:rsidRDefault="00390400" w:rsidP="00390400">
            <w:pPr>
              <w:rPr>
                <w:sz w:val="24"/>
                <w:szCs w:val="24"/>
              </w:rPr>
            </w:pPr>
          </w:p>
          <w:p w14:paraId="1441A8D6" w14:textId="77777777" w:rsidR="00876CB3" w:rsidRDefault="00876CB3" w:rsidP="00390400">
            <w:pPr>
              <w:rPr>
                <w:sz w:val="24"/>
                <w:szCs w:val="24"/>
              </w:rPr>
            </w:pPr>
          </w:p>
          <w:p w14:paraId="35F6CB45" w14:textId="77777777" w:rsidR="00876CB3" w:rsidRDefault="00876CB3" w:rsidP="00390400">
            <w:pPr>
              <w:rPr>
                <w:sz w:val="24"/>
                <w:szCs w:val="24"/>
              </w:rPr>
            </w:pPr>
          </w:p>
          <w:p w14:paraId="57E0F260" w14:textId="77777777" w:rsidR="00876CB3" w:rsidRDefault="00876CB3" w:rsidP="00390400">
            <w:pPr>
              <w:rPr>
                <w:sz w:val="24"/>
                <w:szCs w:val="24"/>
              </w:rPr>
            </w:pPr>
          </w:p>
          <w:p w14:paraId="6BBF44AF" w14:textId="77777777" w:rsidR="00876CB3" w:rsidRDefault="00876CB3" w:rsidP="00390400">
            <w:pPr>
              <w:rPr>
                <w:sz w:val="24"/>
                <w:szCs w:val="24"/>
              </w:rPr>
            </w:pPr>
          </w:p>
          <w:tbl>
            <w:tblPr>
              <w:tblW w:w="6060" w:type="dxa"/>
              <w:tblInd w:w="4" w:type="dxa"/>
              <w:tblCellMar>
                <w:left w:w="0" w:type="dxa"/>
                <w:right w:w="0" w:type="dxa"/>
              </w:tblCellMar>
              <w:tblLook w:val="04A0" w:firstRow="1" w:lastRow="0" w:firstColumn="1" w:lastColumn="0" w:noHBand="0" w:noVBand="1"/>
            </w:tblPr>
            <w:tblGrid>
              <w:gridCol w:w="3540"/>
              <w:gridCol w:w="1260"/>
              <w:gridCol w:w="1260"/>
            </w:tblGrid>
            <w:tr w:rsidR="00390400" w14:paraId="3DD27B44" w14:textId="77777777" w:rsidTr="00390400">
              <w:trPr>
                <w:trHeight w:val="300"/>
              </w:trPr>
              <w:tc>
                <w:tcPr>
                  <w:tcW w:w="354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14:paraId="361ADB7B" w14:textId="77777777" w:rsidR="00390400" w:rsidRDefault="00390400" w:rsidP="00390400">
                  <w:pPr>
                    <w:rPr>
                      <w:b/>
                      <w:bCs/>
                      <w:color w:val="000000"/>
                      <w:lang w:eastAsia="en-GB"/>
                    </w:rPr>
                  </w:pPr>
                  <w:r>
                    <w:rPr>
                      <w:b/>
                      <w:bCs/>
                      <w:color w:val="000000"/>
                      <w:lang w:eastAsia="en-GB"/>
                    </w:rPr>
                    <w:lastRenderedPageBreak/>
                    <w:t>Gross Expenditure cost centres</w:t>
                  </w:r>
                </w:p>
              </w:tc>
              <w:tc>
                <w:tcPr>
                  <w:tcW w:w="126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14:paraId="3F62CC6F" w14:textId="77777777" w:rsidR="00390400" w:rsidRDefault="00390400" w:rsidP="00390400">
                  <w:pPr>
                    <w:jc w:val="center"/>
                    <w:rPr>
                      <w:b/>
                      <w:bCs/>
                      <w:color w:val="000000"/>
                      <w:lang w:eastAsia="en-GB"/>
                    </w:rPr>
                  </w:pPr>
                  <w:r>
                    <w:rPr>
                      <w:b/>
                      <w:bCs/>
                      <w:color w:val="000000"/>
                      <w:lang w:eastAsia="en-GB"/>
                    </w:rPr>
                    <w:t>2017-18</w:t>
                  </w:r>
                </w:p>
              </w:tc>
              <w:tc>
                <w:tcPr>
                  <w:tcW w:w="12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C49947E" w14:textId="77777777" w:rsidR="00390400" w:rsidRDefault="00390400" w:rsidP="00390400">
                  <w:pPr>
                    <w:jc w:val="center"/>
                    <w:rPr>
                      <w:b/>
                      <w:bCs/>
                      <w:color w:val="000000"/>
                      <w:lang w:eastAsia="en-GB"/>
                    </w:rPr>
                  </w:pPr>
                  <w:r>
                    <w:rPr>
                      <w:b/>
                      <w:bCs/>
                      <w:color w:val="000000"/>
                      <w:lang w:eastAsia="en-GB"/>
                    </w:rPr>
                    <w:t>2018-19</w:t>
                  </w:r>
                </w:p>
              </w:tc>
            </w:tr>
            <w:tr w:rsidR="00390400" w14:paraId="4435DD79" w14:textId="77777777" w:rsidTr="00390400">
              <w:trPr>
                <w:trHeight w:val="288"/>
              </w:trPr>
              <w:tc>
                <w:tcPr>
                  <w:tcW w:w="3540" w:type="dxa"/>
                  <w:tcBorders>
                    <w:top w:val="nil"/>
                    <w:left w:val="single" w:sz="8" w:space="0" w:color="auto"/>
                    <w:bottom w:val="nil"/>
                    <w:right w:val="nil"/>
                  </w:tcBorders>
                  <w:noWrap/>
                  <w:tcMar>
                    <w:top w:w="0" w:type="dxa"/>
                    <w:left w:w="108" w:type="dxa"/>
                    <w:bottom w:w="0" w:type="dxa"/>
                    <w:right w:w="108" w:type="dxa"/>
                  </w:tcMar>
                  <w:vAlign w:val="bottom"/>
                  <w:hideMark/>
                </w:tcPr>
                <w:p w14:paraId="4ECFC335" w14:textId="77777777" w:rsidR="00390400" w:rsidRDefault="00390400" w:rsidP="00390400">
                  <w:pPr>
                    <w:rPr>
                      <w:color w:val="000000"/>
                      <w:lang w:eastAsia="en-GB"/>
                    </w:rPr>
                  </w:pPr>
                  <w:r>
                    <w:rPr>
                      <w:color w:val="000000"/>
                      <w:lang w:eastAsia="en-GB"/>
                    </w:rPr>
                    <w:t>Trading Standards</w:t>
                  </w:r>
                </w:p>
              </w:tc>
              <w:tc>
                <w:tcPr>
                  <w:tcW w:w="1260" w:type="dxa"/>
                  <w:tcBorders>
                    <w:top w:val="nil"/>
                    <w:left w:val="single" w:sz="8" w:space="0" w:color="auto"/>
                    <w:bottom w:val="nil"/>
                    <w:right w:val="nil"/>
                  </w:tcBorders>
                  <w:noWrap/>
                  <w:tcMar>
                    <w:top w:w="0" w:type="dxa"/>
                    <w:left w:w="108" w:type="dxa"/>
                    <w:bottom w:w="0" w:type="dxa"/>
                    <w:right w:w="108" w:type="dxa"/>
                  </w:tcMar>
                  <w:vAlign w:val="bottom"/>
                  <w:hideMark/>
                </w:tcPr>
                <w:p w14:paraId="1380AA7D" w14:textId="77777777" w:rsidR="00390400" w:rsidRDefault="00390400" w:rsidP="00390400">
                  <w:pPr>
                    <w:jc w:val="right"/>
                    <w:rPr>
                      <w:color w:val="000000"/>
                      <w:lang w:eastAsia="en-GB"/>
                    </w:rPr>
                  </w:pPr>
                  <w:r>
                    <w:rPr>
                      <w:color w:val="000000"/>
                      <w:lang w:eastAsia="en-GB"/>
                    </w:rPr>
                    <w:t>820,240</w:t>
                  </w:r>
                </w:p>
              </w:tc>
              <w:tc>
                <w:tcPr>
                  <w:tcW w:w="126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4A1935E8" w14:textId="77777777" w:rsidR="00390400" w:rsidRDefault="00390400" w:rsidP="00390400">
                  <w:pPr>
                    <w:jc w:val="right"/>
                    <w:rPr>
                      <w:color w:val="000000"/>
                      <w:lang w:eastAsia="en-GB"/>
                    </w:rPr>
                  </w:pPr>
                  <w:r>
                    <w:rPr>
                      <w:color w:val="000000"/>
                      <w:lang w:eastAsia="en-GB"/>
                    </w:rPr>
                    <w:t>792,880</w:t>
                  </w:r>
                </w:p>
              </w:tc>
            </w:tr>
            <w:tr w:rsidR="00390400" w14:paraId="46A26DE3" w14:textId="77777777" w:rsidTr="00390400">
              <w:trPr>
                <w:trHeight w:val="300"/>
              </w:trPr>
              <w:tc>
                <w:tcPr>
                  <w:tcW w:w="354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617E3CC7" w14:textId="77777777" w:rsidR="00390400" w:rsidRDefault="00390400" w:rsidP="00390400">
                  <w:pPr>
                    <w:rPr>
                      <w:color w:val="000000"/>
                      <w:lang w:eastAsia="en-GB"/>
                    </w:rPr>
                  </w:pPr>
                  <w:r>
                    <w:rPr>
                      <w:color w:val="000000"/>
                      <w:lang w:eastAsia="en-GB"/>
                    </w:rPr>
                    <w:t>CEU - BLF Money Skills Argyll Project</w:t>
                  </w:r>
                </w:p>
              </w:tc>
              <w:tc>
                <w:tcPr>
                  <w:tcW w:w="126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42EE859F" w14:textId="77777777" w:rsidR="00390400" w:rsidRDefault="00390400" w:rsidP="00390400">
                  <w:pPr>
                    <w:jc w:val="right"/>
                    <w:rPr>
                      <w:color w:val="000000"/>
                      <w:lang w:eastAsia="en-GB"/>
                    </w:rPr>
                  </w:pPr>
                  <w:r>
                    <w:rPr>
                      <w:color w:val="000000"/>
                      <w:lang w:eastAsia="en-GB"/>
                    </w:rPr>
                    <w:t>171,195</w:t>
                  </w:r>
                </w:p>
              </w:tc>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388EABE" w14:textId="77777777" w:rsidR="00390400" w:rsidRDefault="00390400" w:rsidP="00390400">
                  <w:pPr>
                    <w:jc w:val="right"/>
                    <w:rPr>
                      <w:color w:val="000000"/>
                      <w:lang w:eastAsia="en-GB"/>
                    </w:rPr>
                  </w:pPr>
                  <w:r>
                    <w:rPr>
                      <w:color w:val="000000"/>
                      <w:lang w:eastAsia="en-GB"/>
                    </w:rPr>
                    <w:t>373,427</w:t>
                  </w:r>
                </w:p>
              </w:tc>
            </w:tr>
          </w:tbl>
          <w:p w14:paraId="605E88C3" w14:textId="77777777" w:rsidR="00390400" w:rsidRDefault="00390400" w:rsidP="00876CB3">
            <w:pPr>
              <w:spacing w:after="120"/>
              <w:rPr>
                <w:rFonts w:ascii="Calibri" w:hAnsi="Calibri" w:cs="Calibri"/>
                <w:sz w:val="24"/>
                <w:szCs w:val="24"/>
              </w:rPr>
            </w:pPr>
          </w:p>
          <w:p w14:paraId="34FB544E" w14:textId="23BAD86D" w:rsidR="007105D8" w:rsidRPr="00036039" w:rsidRDefault="00390400" w:rsidP="00876CB3">
            <w:pPr>
              <w:spacing w:after="120"/>
              <w:rPr>
                <w:rFonts w:cstheme="minorHAnsi"/>
                <w:sz w:val="24"/>
                <w:szCs w:val="24"/>
              </w:rPr>
            </w:pPr>
            <w:r>
              <w:rPr>
                <w:sz w:val="24"/>
                <w:szCs w:val="24"/>
              </w:rPr>
              <w:t>Whilst an increase in the spend above the average within this area has been historically classed as a “worsening” position it has occurred as a result on the Councils success in achieving additional funding to tackle poverty in Argyll &amp; Bute.</w:t>
            </w:r>
            <w:r>
              <w:rPr>
                <w:rFonts w:ascii="Trebuchet MS" w:hAnsi="Trebuchet MS"/>
                <w:color w:val="232323"/>
              </w:rPr>
              <w:t xml:space="preserve"> </w:t>
            </w:r>
            <w:r>
              <w:rPr>
                <w:sz w:val="24"/>
                <w:szCs w:val="24"/>
              </w:rPr>
              <w:t>The project partners</w:t>
            </w:r>
            <w:r>
              <w:rPr>
                <w:rFonts w:ascii="Trebuchet MS" w:hAnsi="Trebuchet MS"/>
                <w:color w:val="232323"/>
              </w:rPr>
              <w:t xml:space="preserve"> </w:t>
            </w:r>
            <w:r>
              <w:rPr>
                <w:rFonts w:ascii="Trebuchet MS" w:hAnsi="Trebuchet MS"/>
                <w:color w:val="232323"/>
                <w:lang w:val="en"/>
              </w:rPr>
              <w:t>(</w:t>
            </w:r>
            <w:r>
              <w:rPr>
                <w:sz w:val="24"/>
                <w:szCs w:val="24"/>
              </w:rPr>
              <w:t>Argyll Community Housing Association, Argyll Networks, ALI energy, Bute Advice Centre and HELP) aimed to offer help, advice and support with debt advice, money advice, computer skills, money management, income maximisation and fuel poverty to around 2,000 people across the Argyll and Bute area over the three years of the project.</w:t>
            </w:r>
          </w:p>
          <w:p w14:paraId="772EDD1C" w14:textId="77777777" w:rsidR="000D2B5A" w:rsidRPr="00531B94" w:rsidRDefault="000D2B5A" w:rsidP="008A1C74">
            <w:pPr>
              <w:rPr>
                <w:rFonts w:ascii="Arial" w:hAnsi="Arial" w:cs="Arial"/>
                <w:szCs w:val="24"/>
              </w:rPr>
            </w:pPr>
          </w:p>
        </w:tc>
      </w:tr>
      <w:tr w:rsidR="00921119" w:rsidRPr="0074491D" w14:paraId="76F8F409" w14:textId="77777777" w:rsidTr="008A1C74">
        <w:trPr>
          <w:jc w:val="center"/>
        </w:trPr>
        <w:tc>
          <w:tcPr>
            <w:tcW w:w="15309" w:type="dxa"/>
            <w:gridSpan w:val="4"/>
          </w:tcPr>
          <w:p w14:paraId="0D3C6951" w14:textId="77777777" w:rsidR="00921119" w:rsidRPr="00CE646C" w:rsidRDefault="00921119" w:rsidP="008A1C74">
            <w:pPr>
              <w:rPr>
                <w:sz w:val="6"/>
                <w:szCs w:val="6"/>
              </w:rPr>
            </w:pPr>
          </w:p>
          <w:p w14:paraId="61A0F7EE" w14:textId="77777777" w:rsidR="00921119" w:rsidRDefault="00921119" w:rsidP="00876CB3">
            <w:pPr>
              <w:spacing w:after="120"/>
              <w:rPr>
                <w:b/>
                <w:sz w:val="28"/>
                <w:szCs w:val="28"/>
              </w:rPr>
            </w:pPr>
            <w:r>
              <w:rPr>
                <w:b/>
                <w:sz w:val="28"/>
                <w:szCs w:val="28"/>
              </w:rPr>
              <w:t>LOOKING FORWARD - EXPECTED IMPACT ON INDICATOR</w:t>
            </w:r>
            <w:r w:rsidRPr="0074491D">
              <w:rPr>
                <w:b/>
                <w:sz w:val="28"/>
                <w:szCs w:val="28"/>
              </w:rPr>
              <w:t>:</w:t>
            </w:r>
          </w:p>
          <w:p w14:paraId="63802EC8" w14:textId="77777777" w:rsidR="00390400" w:rsidRDefault="00390400" w:rsidP="00876CB3">
            <w:pPr>
              <w:spacing w:after="120"/>
              <w:rPr>
                <w:sz w:val="24"/>
                <w:szCs w:val="24"/>
              </w:rPr>
            </w:pPr>
            <w:r>
              <w:rPr>
                <w:sz w:val="24"/>
                <w:szCs w:val="24"/>
              </w:rPr>
              <w:t>The Money Skills Argyll Project finishes in 2020/21 so will continue to impact on 2019/20 indicator. Savings have been achieved with regards to Trading Standards and they will impact further from 2019/20 onwards.</w:t>
            </w:r>
          </w:p>
          <w:p w14:paraId="77544571" w14:textId="77777777" w:rsidR="00921119" w:rsidRPr="00CE646C" w:rsidRDefault="00921119" w:rsidP="008A1C74">
            <w:pPr>
              <w:rPr>
                <w:rFonts w:ascii="Arial" w:hAnsi="Arial" w:cs="Arial"/>
              </w:rPr>
            </w:pPr>
          </w:p>
        </w:tc>
      </w:tr>
    </w:tbl>
    <w:p w14:paraId="5921024D" w14:textId="287DCAC0" w:rsidR="00921119" w:rsidRPr="0074491D" w:rsidRDefault="00921119" w:rsidP="004A7E36">
      <w:pPr>
        <w:spacing w:after="0" w:line="240" w:lineRule="auto"/>
      </w:pPr>
    </w:p>
    <w:sectPr w:rsidR="00921119" w:rsidRPr="0074491D" w:rsidSect="0027046E">
      <w:footerReference w:type="default" r:id="rId14"/>
      <w:footerReference w:type="first" r:id="rId15"/>
      <w:pgSz w:w="16838" w:h="11906" w:orient="landscape"/>
      <w:pgMar w:top="851" w:right="1440" w:bottom="567"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9E310" w14:textId="77777777" w:rsidR="003F00D3" w:rsidRDefault="003F00D3" w:rsidP="002C3C4A">
      <w:pPr>
        <w:spacing w:after="0" w:line="240" w:lineRule="auto"/>
      </w:pPr>
      <w:r>
        <w:separator/>
      </w:r>
    </w:p>
  </w:endnote>
  <w:endnote w:type="continuationSeparator" w:id="0">
    <w:p w14:paraId="0C0F2F5C" w14:textId="77777777" w:rsidR="003F00D3" w:rsidRDefault="003F00D3" w:rsidP="002C3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441011"/>
      <w:docPartObj>
        <w:docPartGallery w:val="Page Numbers (Bottom of Page)"/>
        <w:docPartUnique/>
      </w:docPartObj>
    </w:sdtPr>
    <w:sdtEndPr>
      <w:rPr>
        <w:noProof/>
      </w:rPr>
    </w:sdtEndPr>
    <w:sdtContent>
      <w:p w14:paraId="7D15825E" w14:textId="77777777" w:rsidR="003F00D3" w:rsidRDefault="003F00D3">
        <w:pPr>
          <w:pStyle w:val="Footer"/>
          <w:jc w:val="center"/>
        </w:pPr>
        <w:r>
          <w:fldChar w:fldCharType="begin"/>
        </w:r>
        <w:r>
          <w:instrText xml:space="preserve"> PAGE   \* MERGEFORMAT </w:instrText>
        </w:r>
        <w:r>
          <w:fldChar w:fldCharType="separate"/>
        </w:r>
        <w:r w:rsidR="005C64FC">
          <w:rPr>
            <w:noProof/>
          </w:rPr>
          <w:t>21</w:t>
        </w:r>
        <w:r>
          <w:rPr>
            <w:noProof/>
          </w:rPr>
          <w:fldChar w:fldCharType="end"/>
        </w:r>
      </w:p>
    </w:sdtContent>
  </w:sdt>
  <w:p w14:paraId="3D373C7F" w14:textId="77777777" w:rsidR="003F00D3" w:rsidRDefault="003F00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437965"/>
      <w:docPartObj>
        <w:docPartGallery w:val="Page Numbers (Bottom of Page)"/>
        <w:docPartUnique/>
      </w:docPartObj>
    </w:sdtPr>
    <w:sdtEndPr>
      <w:rPr>
        <w:noProof/>
      </w:rPr>
    </w:sdtEndPr>
    <w:sdtContent>
      <w:p w14:paraId="4ADD3841" w14:textId="77777777" w:rsidR="003F00D3" w:rsidRDefault="003F00D3">
        <w:pPr>
          <w:pStyle w:val="Footer"/>
          <w:jc w:val="center"/>
        </w:pPr>
        <w:r>
          <w:fldChar w:fldCharType="begin"/>
        </w:r>
        <w:r>
          <w:instrText xml:space="preserve"> PAGE   \* MERGEFORMAT </w:instrText>
        </w:r>
        <w:r>
          <w:fldChar w:fldCharType="separate"/>
        </w:r>
        <w:r w:rsidR="005C64FC">
          <w:rPr>
            <w:noProof/>
          </w:rPr>
          <w:t>0</w:t>
        </w:r>
        <w:r>
          <w:rPr>
            <w:noProof/>
          </w:rPr>
          <w:fldChar w:fldCharType="end"/>
        </w:r>
      </w:p>
    </w:sdtContent>
  </w:sdt>
  <w:p w14:paraId="23C3EB69" w14:textId="77777777" w:rsidR="003F00D3" w:rsidRDefault="003F0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25D8B" w14:textId="77777777" w:rsidR="003F00D3" w:rsidRDefault="003F00D3" w:rsidP="002C3C4A">
      <w:pPr>
        <w:spacing w:after="0" w:line="240" w:lineRule="auto"/>
      </w:pPr>
      <w:r>
        <w:separator/>
      </w:r>
    </w:p>
  </w:footnote>
  <w:footnote w:type="continuationSeparator" w:id="0">
    <w:p w14:paraId="0A7CECC2" w14:textId="77777777" w:rsidR="003F00D3" w:rsidRDefault="003F00D3" w:rsidP="002C3C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02FC37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5pt;height:12.45pt;visibility:visible;mso-wrap-style:square" o:bullet="t">
        <v:imagedata r:id="rId1" o:title=""/>
      </v:shape>
    </w:pict>
  </w:numPicBullet>
  <w:numPicBullet w:numPicBulletId="1">
    <w:pict>
      <v:shape w14:anchorId="013D3AC8" id="_x0000_i1027" type="#_x0000_t75" style="width:20.1pt;height:13.15pt;visibility:visible;mso-wrap-style:square" o:bullet="t">
        <v:imagedata r:id="rId2" o:title=""/>
      </v:shape>
    </w:pict>
  </w:numPicBullet>
  <w:abstractNum w:abstractNumId="0" w15:restartNumberingAfterBreak="0">
    <w:nsid w:val="04BE17A7"/>
    <w:multiLevelType w:val="hybridMultilevel"/>
    <w:tmpl w:val="2B1E8BB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05605"/>
    <w:multiLevelType w:val="hybridMultilevel"/>
    <w:tmpl w:val="AE1036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178BA"/>
    <w:multiLevelType w:val="hybridMultilevel"/>
    <w:tmpl w:val="B46AC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294814"/>
    <w:multiLevelType w:val="hybridMultilevel"/>
    <w:tmpl w:val="D9728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E2D00"/>
    <w:multiLevelType w:val="hybridMultilevel"/>
    <w:tmpl w:val="3B7A4A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B7448D"/>
    <w:multiLevelType w:val="hybridMultilevel"/>
    <w:tmpl w:val="272E6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12763"/>
    <w:multiLevelType w:val="hybridMultilevel"/>
    <w:tmpl w:val="88F822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0D7013"/>
    <w:multiLevelType w:val="hybridMultilevel"/>
    <w:tmpl w:val="D1F8C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C06CBF"/>
    <w:multiLevelType w:val="hybridMultilevel"/>
    <w:tmpl w:val="681A0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8E1785"/>
    <w:multiLevelType w:val="hybridMultilevel"/>
    <w:tmpl w:val="06AC3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D63655"/>
    <w:multiLevelType w:val="hybridMultilevel"/>
    <w:tmpl w:val="45FEA8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0ED4F3E"/>
    <w:multiLevelType w:val="hybridMultilevel"/>
    <w:tmpl w:val="974471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2F6FFC"/>
    <w:multiLevelType w:val="hybridMultilevel"/>
    <w:tmpl w:val="AA808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886F8D"/>
    <w:multiLevelType w:val="hybridMultilevel"/>
    <w:tmpl w:val="9650E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86A8B"/>
    <w:multiLevelType w:val="hybridMultilevel"/>
    <w:tmpl w:val="30AEE7C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2453A53"/>
    <w:multiLevelType w:val="hybridMultilevel"/>
    <w:tmpl w:val="8A0ED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1A1E63"/>
    <w:multiLevelType w:val="hybridMultilevel"/>
    <w:tmpl w:val="ED00D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4149FC"/>
    <w:multiLevelType w:val="hybridMultilevel"/>
    <w:tmpl w:val="68A860D4"/>
    <w:lvl w:ilvl="0" w:tplc="BAB4097E">
      <w:start w:val="79"/>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8AA07C1"/>
    <w:multiLevelType w:val="hybridMultilevel"/>
    <w:tmpl w:val="43AEF2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853A49"/>
    <w:multiLevelType w:val="hybridMultilevel"/>
    <w:tmpl w:val="FB8CB45A"/>
    <w:lvl w:ilvl="0" w:tplc="ACBE92C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6E79DD"/>
    <w:multiLevelType w:val="hybridMultilevel"/>
    <w:tmpl w:val="8CC83AA8"/>
    <w:lvl w:ilvl="0" w:tplc="BB9E11CA">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7A547D4"/>
    <w:multiLevelType w:val="hybridMultilevel"/>
    <w:tmpl w:val="7C6CB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3"/>
  </w:num>
  <w:num w:numId="4">
    <w:abstractNumId w:val="15"/>
  </w:num>
  <w:num w:numId="5">
    <w:abstractNumId w:val="10"/>
  </w:num>
  <w:num w:numId="6">
    <w:abstractNumId w:val="17"/>
  </w:num>
  <w:num w:numId="7">
    <w:abstractNumId w:val="13"/>
  </w:num>
  <w:num w:numId="8">
    <w:abstractNumId w:val="9"/>
  </w:num>
  <w:num w:numId="9">
    <w:abstractNumId w:val="4"/>
  </w:num>
  <w:num w:numId="10">
    <w:abstractNumId w:val="20"/>
  </w:num>
  <w:num w:numId="11">
    <w:abstractNumId w:val="11"/>
  </w:num>
  <w:num w:numId="12">
    <w:abstractNumId w:val="16"/>
  </w:num>
  <w:num w:numId="13">
    <w:abstractNumId w:val="7"/>
  </w:num>
  <w:num w:numId="14">
    <w:abstractNumId w:val="18"/>
  </w:num>
  <w:num w:numId="15">
    <w:abstractNumId w:val="0"/>
  </w:num>
  <w:num w:numId="16">
    <w:abstractNumId w:val="12"/>
  </w:num>
  <w:num w:numId="17">
    <w:abstractNumId w:val="2"/>
  </w:num>
  <w:num w:numId="18">
    <w:abstractNumId w:val="5"/>
  </w:num>
  <w:num w:numId="19">
    <w:abstractNumId w:val="19"/>
  </w:num>
  <w:num w:numId="20">
    <w:abstractNumId w:val="14"/>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CDA"/>
    <w:rsid w:val="00000343"/>
    <w:rsid w:val="00000FAE"/>
    <w:rsid w:val="00004082"/>
    <w:rsid w:val="0000556A"/>
    <w:rsid w:val="00005D0F"/>
    <w:rsid w:val="000145F5"/>
    <w:rsid w:val="000148AF"/>
    <w:rsid w:val="0001557D"/>
    <w:rsid w:val="000174CC"/>
    <w:rsid w:val="000225DD"/>
    <w:rsid w:val="0002426C"/>
    <w:rsid w:val="00026B5E"/>
    <w:rsid w:val="000313AE"/>
    <w:rsid w:val="00033193"/>
    <w:rsid w:val="00036039"/>
    <w:rsid w:val="00036B6F"/>
    <w:rsid w:val="00037773"/>
    <w:rsid w:val="000412A1"/>
    <w:rsid w:val="00045BB6"/>
    <w:rsid w:val="00046AFE"/>
    <w:rsid w:val="000504CB"/>
    <w:rsid w:val="00051B12"/>
    <w:rsid w:val="00052F0E"/>
    <w:rsid w:val="000532D9"/>
    <w:rsid w:val="00053B3F"/>
    <w:rsid w:val="000541C5"/>
    <w:rsid w:val="00057F5D"/>
    <w:rsid w:val="00063FC7"/>
    <w:rsid w:val="000647EF"/>
    <w:rsid w:val="000664BD"/>
    <w:rsid w:val="00067542"/>
    <w:rsid w:val="00067CD9"/>
    <w:rsid w:val="00070B63"/>
    <w:rsid w:val="000766D0"/>
    <w:rsid w:val="00080243"/>
    <w:rsid w:val="00080DAD"/>
    <w:rsid w:val="0008221F"/>
    <w:rsid w:val="00084907"/>
    <w:rsid w:val="00085D92"/>
    <w:rsid w:val="0008765A"/>
    <w:rsid w:val="000904F4"/>
    <w:rsid w:val="00090A73"/>
    <w:rsid w:val="00090F20"/>
    <w:rsid w:val="0009120B"/>
    <w:rsid w:val="00091C24"/>
    <w:rsid w:val="00093CD1"/>
    <w:rsid w:val="000A1561"/>
    <w:rsid w:val="000A1E11"/>
    <w:rsid w:val="000A4890"/>
    <w:rsid w:val="000A7273"/>
    <w:rsid w:val="000B0F09"/>
    <w:rsid w:val="000B2DEB"/>
    <w:rsid w:val="000C2019"/>
    <w:rsid w:val="000C25E0"/>
    <w:rsid w:val="000C3EFF"/>
    <w:rsid w:val="000C45B3"/>
    <w:rsid w:val="000C4A05"/>
    <w:rsid w:val="000C6FCC"/>
    <w:rsid w:val="000C79BA"/>
    <w:rsid w:val="000C7D3B"/>
    <w:rsid w:val="000D112E"/>
    <w:rsid w:val="000D18FA"/>
    <w:rsid w:val="000D2B5A"/>
    <w:rsid w:val="000D6EB0"/>
    <w:rsid w:val="000E0F6F"/>
    <w:rsid w:val="000E1375"/>
    <w:rsid w:val="000E1422"/>
    <w:rsid w:val="000E1D37"/>
    <w:rsid w:val="000E2E3F"/>
    <w:rsid w:val="000E5FE0"/>
    <w:rsid w:val="000F4CDF"/>
    <w:rsid w:val="000F5144"/>
    <w:rsid w:val="000F6BF9"/>
    <w:rsid w:val="000F7227"/>
    <w:rsid w:val="000F72FD"/>
    <w:rsid w:val="0010243D"/>
    <w:rsid w:val="00107922"/>
    <w:rsid w:val="0011275A"/>
    <w:rsid w:val="0011329A"/>
    <w:rsid w:val="00115176"/>
    <w:rsid w:val="00115E26"/>
    <w:rsid w:val="00120382"/>
    <w:rsid w:val="00120D3E"/>
    <w:rsid w:val="00122040"/>
    <w:rsid w:val="00122621"/>
    <w:rsid w:val="00122929"/>
    <w:rsid w:val="0012381F"/>
    <w:rsid w:val="0012644F"/>
    <w:rsid w:val="00126FE6"/>
    <w:rsid w:val="0012701D"/>
    <w:rsid w:val="001304C2"/>
    <w:rsid w:val="001341A5"/>
    <w:rsid w:val="0013621A"/>
    <w:rsid w:val="00137706"/>
    <w:rsid w:val="0013784E"/>
    <w:rsid w:val="001404A9"/>
    <w:rsid w:val="0014216C"/>
    <w:rsid w:val="0014490C"/>
    <w:rsid w:val="001453C3"/>
    <w:rsid w:val="00145525"/>
    <w:rsid w:val="00146D4F"/>
    <w:rsid w:val="001476AE"/>
    <w:rsid w:val="0015254C"/>
    <w:rsid w:val="001527FE"/>
    <w:rsid w:val="00154504"/>
    <w:rsid w:val="001551A9"/>
    <w:rsid w:val="0015651E"/>
    <w:rsid w:val="00157B7C"/>
    <w:rsid w:val="0016449F"/>
    <w:rsid w:val="001654BD"/>
    <w:rsid w:val="0017076E"/>
    <w:rsid w:val="00171D32"/>
    <w:rsid w:val="0017442A"/>
    <w:rsid w:val="001744B3"/>
    <w:rsid w:val="00176CEA"/>
    <w:rsid w:val="00182799"/>
    <w:rsid w:val="001827B6"/>
    <w:rsid w:val="0018297D"/>
    <w:rsid w:val="00185A34"/>
    <w:rsid w:val="00193079"/>
    <w:rsid w:val="00193322"/>
    <w:rsid w:val="00193DB6"/>
    <w:rsid w:val="001944B7"/>
    <w:rsid w:val="0019623E"/>
    <w:rsid w:val="00196B10"/>
    <w:rsid w:val="00197784"/>
    <w:rsid w:val="001A02B1"/>
    <w:rsid w:val="001A4C73"/>
    <w:rsid w:val="001A658D"/>
    <w:rsid w:val="001A732A"/>
    <w:rsid w:val="001B1260"/>
    <w:rsid w:val="001B128D"/>
    <w:rsid w:val="001B3CB3"/>
    <w:rsid w:val="001B564C"/>
    <w:rsid w:val="001B693A"/>
    <w:rsid w:val="001B7E1E"/>
    <w:rsid w:val="001C1C41"/>
    <w:rsid w:val="001C213F"/>
    <w:rsid w:val="001C3818"/>
    <w:rsid w:val="001C3D4C"/>
    <w:rsid w:val="001C5276"/>
    <w:rsid w:val="001C535D"/>
    <w:rsid w:val="001C5DB5"/>
    <w:rsid w:val="001C72CF"/>
    <w:rsid w:val="001D00CD"/>
    <w:rsid w:val="001D1CB4"/>
    <w:rsid w:val="001D3DEE"/>
    <w:rsid w:val="001D6373"/>
    <w:rsid w:val="001D744E"/>
    <w:rsid w:val="001E370B"/>
    <w:rsid w:val="001E43C6"/>
    <w:rsid w:val="001E75AC"/>
    <w:rsid w:val="001F1D1D"/>
    <w:rsid w:val="001F68C8"/>
    <w:rsid w:val="00201657"/>
    <w:rsid w:val="00202B80"/>
    <w:rsid w:val="0020450A"/>
    <w:rsid w:val="0020513E"/>
    <w:rsid w:val="00205380"/>
    <w:rsid w:val="00206078"/>
    <w:rsid w:val="002063EA"/>
    <w:rsid w:val="00206DE3"/>
    <w:rsid w:val="00207A29"/>
    <w:rsid w:val="002136FE"/>
    <w:rsid w:val="0021448F"/>
    <w:rsid w:val="00215FB3"/>
    <w:rsid w:val="00221B03"/>
    <w:rsid w:val="00224671"/>
    <w:rsid w:val="00230126"/>
    <w:rsid w:val="00232953"/>
    <w:rsid w:val="00232DFD"/>
    <w:rsid w:val="00233D0D"/>
    <w:rsid w:val="002341B1"/>
    <w:rsid w:val="00235EA6"/>
    <w:rsid w:val="00236ECE"/>
    <w:rsid w:val="00241D96"/>
    <w:rsid w:val="002432AA"/>
    <w:rsid w:val="0024624B"/>
    <w:rsid w:val="00247964"/>
    <w:rsid w:val="00247FAE"/>
    <w:rsid w:val="00250133"/>
    <w:rsid w:val="002537D4"/>
    <w:rsid w:val="00254956"/>
    <w:rsid w:val="00262A98"/>
    <w:rsid w:val="00265341"/>
    <w:rsid w:val="002676A4"/>
    <w:rsid w:val="00267C79"/>
    <w:rsid w:val="0027046E"/>
    <w:rsid w:val="00270F84"/>
    <w:rsid w:val="0028074B"/>
    <w:rsid w:val="0028140A"/>
    <w:rsid w:val="00281845"/>
    <w:rsid w:val="00282133"/>
    <w:rsid w:val="0028412A"/>
    <w:rsid w:val="00285389"/>
    <w:rsid w:val="002857CC"/>
    <w:rsid w:val="00286999"/>
    <w:rsid w:val="002879AE"/>
    <w:rsid w:val="00290A86"/>
    <w:rsid w:val="00290AB0"/>
    <w:rsid w:val="0029320A"/>
    <w:rsid w:val="0029323D"/>
    <w:rsid w:val="00296107"/>
    <w:rsid w:val="002A0213"/>
    <w:rsid w:val="002A28B8"/>
    <w:rsid w:val="002A3086"/>
    <w:rsid w:val="002A7D10"/>
    <w:rsid w:val="002B4C5E"/>
    <w:rsid w:val="002B6B30"/>
    <w:rsid w:val="002C3C4A"/>
    <w:rsid w:val="002D0E83"/>
    <w:rsid w:val="002D261A"/>
    <w:rsid w:val="002D4A04"/>
    <w:rsid w:val="002D7CDB"/>
    <w:rsid w:val="002E06D1"/>
    <w:rsid w:val="002E1689"/>
    <w:rsid w:val="002E41C6"/>
    <w:rsid w:val="002E68F4"/>
    <w:rsid w:val="002F1397"/>
    <w:rsid w:val="002F202B"/>
    <w:rsid w:val="002F2A64"/>
    <w:rsid w:val="002F2D61"/>
    <w:rsid w:val="002F34B6"/>
    <w:rsid w:val="002F537E"/>
    <w:rsid w:val="002F66EF"/>
    <w:rsid w:val="00301A8E"/>
    <w:rsid w:val="00302DC2"/>
    <w:rsid w:val="003044AE"/>
    <w:rsid w:val="00304D5D"/>
    <w:rsid w:val="00306CAE"/>
    <w:rsid w:val="00312398"/>
    <w:rsid w:val="00317679"/>
    <w:rsid w:val="00317EDC"/>
    <w:rsid w:val="00320E1A"/>
    <w:rsid w:val="00321B3D"/>
    <w:rsid w:val="00324E52"/>
    <w:rsid w:val="003262ED"/>
    <w:rsid w:val="00327220"/>
    <w:rsid w:val="00327DD0"/>
    <w:rsid w:val="00334E9E"/>
    <w:rsid w:val="00336A54"/>
    <w:rsid w:val="00344919"/>
    <w:rsid w:val="00347431"/>
    <w:rsid w:val="00347F93"/>
    <w:rsid w:val="00350A1C"/>
    <w:rsid w:val="00351890"/>
    <w:rsid w:val="0035334B"/>
    <w:rsid w:val="00355864"/>
    <w:rsid w:val="00355F54"/>
    <w:rsid w:val="003575C1"/>
    <w:rsid w:val="003616E3"/>
    <w:rsid w:val="00362ABA"/>
    <w:rsid w:val="00362B62"/>
    <w:rsid w:val="00364B16"/>
    <w:rsid w:val="00364FB5"/>
    <w:rsid w:val="00365C5A"/>
    <w:rsid w:val="00365E83"/>
    <w:rsid w:val="00373034"/>
    <w:rsid w:val="00373D0E"/>
    <w:rsid w:val="00374518"/>
    <w:rsid w:val="00380621"/>
    <w:rsid w:val="00381040"/>
    <w:rsid w:val="0038190E"/>
    <w:rsid w:val="00384BAC"/>
    <w:rsid w:val="003852B3"/>
    <w:rsid w:val="00390400"/>
    <w:rsid w:val="0039370D"/>
    <w:rsid w:val="00394321"/>
    <w:rsid w:val="00395EBD"/>
    <w:rsid w:val="00396022"/>
    <w:rsid w:val="00396455"/>
    <w:rsid w:val="003A1C44"/>
    <w:rsid w:val="003B27B8"/>
    <w:rsid w:val="003B3F43"/>
    <w:rsid w:val="003B4CC9"/>
    <w:rsid w:val="003B5F3E"/>
    <w:rsid w:val="003B6C75"/>
    <w:rsid w:val="003B7023"/>
    <w:rsid w:val="003C009A"/>
    <w:rsid w:val="003C0EFF"/>
    <w:rsid w:val="003C333D"/>
    <w:rsid w:val="003C4247"/>
    <w:rsid w:val="003C4DDA"/>
    <w:rsid w:val="003C7E69"/>
    <w:rsid w:val="003D4450"/>
    <w:rsid w:val="003D55B4"/>
    <w:rsid w:val="003D74C0"/>
    <w:rsid w:val="003E0B34"/>
    <w:rsid w:val="003E332F"/>
    <w:rsid w:val="003E452D"/>
    <w:rsid w:val="003E5826"/>
    <w:rsid w:val="003E5892"/>
    <w:rsid w:val="003F00D3"/>
    <w:rsid w:val="003F0735"/>
    <w:rsid w:val="003F0E38"/>
    <w:rsid w:val="003F46D0"/>
    <w:rsid w:val="003F59FF"/>
    <w:rsid w:val="003F7E3E"/>
    <w:rsid w:val="00403534"/>
    <w:rsid w:val="00404248"/>
    <w:rsid w:val="0040558E"/>
    <w:rsid w:val="004072BD"/>
    <w:rsid w:val="004103D8"/>
    <w:rsid w:val="00410D33"/>
    <w:rsid w:val="00411D3F"/>
    <w:rsid w:val="004151F3"/>
    <w:rsid w:val="00416BD3"/>
    <w:rsid w:val="00420A6D"/>
    <w:rsid w:val="00426AE2"/>
    <w:rsid w:val="00431CD1"/>
    <w:rsid w:val="0043547D"/>
    <w:rsid w:val="00440401"/>
    <w:rsid w:val="00440E20"/>
    <w:rsid w:val="00444C5B"/>
    <w:rsid w:val="0044548C"/>
    <w:rsid w:val="004454E7"/>
    <w:rsid w:val="00447F05"/>
    <w:rsid w:val="00452FFC"/>
    <w:rsid w:val="00454D29"/>
    <w:rsid w:val="00455D1C"/>
    <w:rsid w:val="00456ACE"/>
    <w:rsid w:val="0045755E"/>
    <w:rsid w:val="0046032C"/>
    <w:rsid w:val="004604F7"/>
    <w:rsid w:val="00460F80"/>
    <w:rsid w:val="004618FC"/>
    <w:rsid w:val="004622FE"/>
    <w:rsid w:val="0046529D"/>
    <w:rsid w:val="00466FE3"/>
    <w:rsid w:val="00467F0F"/>
    <w:rsid w:val="00473295"/>
    <w:rsid w:val="00473B9E"/>
    <w:rsid w:val="00474226"/>
    <w:rsid w:val="00474BD7"/>
    <w:rsid w:val="004778C8"/>
    <w:rsid w:val="004802B4"/>
    <w:rsid w:val="00483FB1"/>
    <w:rsid w:val="0048697D"/>
    <w:rsid w:val="00492177"/>
    <w:rsid w:val="004945A8"/>
    <w:rsid w:val="00496232"/>
    <w:rsid w:val="0049695A"/>
    <w:rsid w:val="004A006B"/>
    <w:rsid w:val="004A06ED"/>
    <w:rsid w:val="004A7A1D"/>
    <w:rsid w:val="004A7E36"/>
    <w:rsid w:val="004B0726"/>
    <w:rsid w:val="004B0D92"/>
    <w:rsid w:val="004B1F0F"/>
    <w:rsid w:val="004B272A"/>
    <w:rsid w:val="004B2D3C"/>
    <w:rsid w:val="004B3A72"/>
    <w:rsid w:val="004B3E94"/>
    <w:rsid w:val="004B4889"/>
    <w:rsid w:val="004B5CE1"/>
    <w:rsid w:val="004C2AD1"/>
    <w:rsid w:val="004C3A2E"/>
    <w:rsid w:val="004C5A6D"/>
    <w:rsid w:val="004C7782"/>
    <w:rsid w:val="004D1987"/>
    <w:rsid w:val="004D3775"/>
    <w:rsid w:val="004D4183"/>
    <w:rsid w:val="004E1A68"/>
    <w:rsid w:val="004E2BBF"/>
    <w:rsid w:val="004E4179"/>
    <w:rsid w:val="004E5901"/>
    <w:rsid w:val="004F2CC9"/>
    <w:rsid w:val="004F41A3"/>
    <w:rsid w:val="004F4EA3"/>
    <w:rsid w:val="005001DE"/>
    <w:rsid w:val="00500EE3"/>
    <w:rsid w:val="005021D3"/>
    <w:rsid w:val="0050244A"/>
    <w:rsid w:val="00502FC0"/>
    <w:rsid w:val="00504156"/>
    <w:rsid w:val="0050477E"/>
    <w:rsid w:val="00510EAB"/>
    <w:rsid w:val="00513443"/>
    <w:rsid w:val="00514ADC"/>
    <w:rsid w:val="0052133C"/>
    <w:rsid w:val="0052182E"/>
    <w:rsid w:val="005239A8"/>
    <w:rsid w:val="00524549"/>
    <w:rsid w:val="00525319"/>
    <w:rsid w:val="0052702B"/>
    <w:rsid w:val="0052729C"/>
    <w:rsid w:val="00531B94"/>
    <w:rsid w:val="00533707"/>
    <w:rsid w:val="0053461B"/>
    <w:rsid w:val="0053595A"/>
    <w:rsid w:val="00543E81"/>
    <w:rsid w:val="00545C9F"/>
    <w:rsid w:val="00550E77"/>
    <w:rsid w:val="00551DBA"/>
    <w:rsid w:val="005543B2"/>
    <w:rsid w:val="00557F84"/>
    <w:rsid w:val="005602EE"/>
    <w:rsid w:val="00562805"/>
    <w:rsid w:val="00562A27"/>
    <w:rsid w:val="005647BF"/>
    <w:rsid w:val="00567B9F"/>
    <w:rsid w:val="00570D61"/>
    <w:rsid w:val="005732D9"/>
    <w:rsid w:val="00575F6E"/>
    <w:rsid w:val="00576461"/>
    <w:rsid w:val="00577488"/>
    <w:rsid w:val="0058165C"/>
    <w:rsid w:val="00581F12"/>
    <w:rsid w:val="005831BC"/>
    <w:rsid w:val="00584623"/>
    <w:rsid w:val="00585CB5"/>
    <w:rsid w:val="0058651F"/>
    <w:rsid w:val="00590077"/>
    <w:rsid w:val="00590ECE"/>
    <w:rsid w:val="00591E5F"/>
    <w:rsid w:val="005945EB"/>
    <w:rsid w:val="005947CE"/>
    <w:rsid w:val="005A05EB"/>
    <w:rsid w:val="005A0783"/>
    <w:rsid w:val="005A09D5"/>
    <w:rsid w:val="005A151B"/>
    <w:rsid w:val="005A2D5B"/>
    <w:rsid w:val="005A2E04"/>
    <w:rsid w:val="005A6C7B"/>
    <w:rsid w:val="005A6F96"/>
    <w:rsid w:val="005A7B31"/>
    <w:rsid w:val="005B1C4B"/>
    <w:rsid w:val="005C10D7"/>
    <w:rsid w:val="005C247F"/>
    <w:rsid w:val="005C3523"/>
    <w:rsid w:val="005C5BD7"/>
    <w:rsid w:val="005C64FC"/>
    <w:rsid w:val="005D39EB"/>
    <w:rsid w:val="005D3B71"/>
    <w:rsid w:val="005D63D1"/>
    <w:rsid w:val="005D65E6"/>
    <w:rsid w:val="005D6CB5"/>
    <w:rsid w:val="005E2139"/>
    <w:rsid w:val="005E3077"/>
    <w:rsid w:val="005E5324"/>
    <w:rsid w:val="005F1653"/>
    <w:rsid w:val="005F70A4"/>
    <w:rsid w:val="006009A3"/>
    <w:rsid w:val="00601DB2"/>
    <w:rsid w:val="006045CA"/>
    <w:rsid w:val="00604850"/>
    <w:rsid w:val="0060745D"/>
    <w:rsid w:val="00610B50"/>
    <w:rsid w:val="00613E66"/>
    <w:rsid w:val="006147FF"/>
    <w:rsid w:val="00616651"/>
    <w:rsid w:val="00617A96"/>
    <w:rsid w:val="006250B6"/>
    <w:rsid w:val="00625EF6"/>
    <w:rsid w:val="00631A77"/>
    <w:rsid w:val="00632CB9"/>
    <w:rsid w:val="006344CC"/>
    <w:rsid w:val="0064045D"/>
    <w:rsid w:val="0064139A"/>
    <w:rsid w:val="0064151E"/>
    <w:rsid w:val="00644E68"/>
    <w:rsid w:val="006452B6"/>
    <w:rsid w:val="00646366"/>
    <w:rsid w:val="0064665D"/>
    <w:rsid w:val="006476C6"/>
    <w:rsid w:val="00652D71"/>
    <w:rsid w:val="006537FA"/>
    <w:rsid w:val="00653CE6"/>
    <w:rsid w:val="006545F6"/>
    <w:rsid w:val="00656E29"/>
    <w:rsid w:val="00662792"/>
    <w:rsid w:val="00664310"/>
    <w:rsid w:val="00667BA4"/>
    <w:rsid w:val="0067121D"/>
    <w:rsid w:val="006731ED"/>
    <w:rsid w:val="00673620"/>
    <w:rsid w:val="0067676B"/>
    <w:rsid w:val="00676858"/>
    <w:rsid w:val="0068013B"/>
    <w:rsid w:val="006805F1"/>
    <w:rsid w:val="0068094B"/>
    <w:rsid w:val="00681168"/>
    <w:rsid w:val="00684521"/>
    <w:rsid w:val="0068490F"/>
    <w:rsid w:val="00685CEB"/>
    <w:rsid w:val="00691C86"/>
    <w:rsid w:val="00694DE8"/>
    <w:rsid w:val="006951E1"/>
    <w:rsid w:val="00695EBE"/>
    <w:rsid w:val="0069713C"/>
    <w:rsid w:val="006974DB"/>
    <w:rsid w:val="006A099B"/>
    <w:rsid w:val="006A1A06"/>
    <w:rsid w:val="006A2F5F"/>
    <w:rsid w:val="006A3094"/>
    <w:rsid w:val="006A446F"/>
    <w:rsid w:val="006A62B2"/>
    <w:rsid w:val="006B3605"/>
    <w:rsid w:val="006B5E5B"/>
    <w:rsid w:val="006B779B"/>
    <w:rsid w:val="006C0DB7"/>
    <w:rsid w:val="006C1339"/>
    <w:rsid w:val="006C350F"/>
    <w:rsid w:val="006C4020"/>
    <w:rsid w:val="006C4FA7"/>
    <w:rsid w:val="006C7A86"/>
    <w:rsid w:val="006D3BA9"/>
    <w:rsid w:val="006D7915"/>
    <w:rsid w:val="006E0A0B"/>
    <w:rsid w:val="006E222B"/>
    <w:rsid w:val="006E4CD8"/>
    <w:rsid w:val="006E69DC"/>
    <w:rsid w:val="006E7325"/>
    <w:rsid w:val="006F0470"/>
    <w:rsid w:val="006F0AC0"/>
    <w:rsid w:val="006F128A"/>
    <w:rsid w:val="006F1B2C"/>
    <w:rsid w:val="006F20EA"/>
    <w:rsid w:val="006F28B5"/>
    <w:rsid w:val="006F474C"/>
    <w:rsid w:val="006F5B39"/>
    <w:rsid w:val="00700ACE"/>
    <w:rsid w:val="007024AF"/>
    <w:rsid w:val="00705021"/>
    <w:rsid w:val="007105D8"/>
    <w:rsid w:val="00711B90"/>
    <w:rsid w:val="0071743A"/>
    <w:rsid w:val="00721B18"/>
    <w:rsid w:val="00727D13"/>
    <w:rsid w:val="007302B8"/>
    <w:rsid w:val="00730930"/>
    <w:rsid w:val="00730B04"/>
    <w:rsid w:val="00730C1D"/>
    <w:rsid w:val="007321C6"/>
    <w:rsid w:val="00735045"/>
    <w:rsid w:val="007406A6"/>
    <w:rsid w:val="007438FA"/>
    <w:rsid w:val="00743DFD"/>
    <w:rsid w:val="0074491D"/>
    <w:rsid w:val="007465A4"/>
    <w:rsid w:val="00746CCC"/>
    <w:rsid w:val="00751D14"/>
    <w:rsid w:val="00752AAB"/>
    <w:rsid w:val="0076076D"/>
    <w:rsid w:val="00763840"/>
    <w:rsid w:val="007642C7"/>
    <w:rsid w:val="00764F8E"/>
    <w:rsid w:val="00767F7D"/>
    <w:rsid w:val="00771E60"/>
    <w:rsid w:val="00771F2A"/>
    <w:rsid w:val="00773B16"/>
    <w:rsid w:val="00774577"/>
    <w:rsid w:val="00776B95"/>
    <w:rsid w:val="00780F1F"/>
    <w:rsid w:val="007828F1"/>
    <w:rsid w:val="00783371"/>
    <w:rsid w:val="007858B1"/>
    <w:rsid w:val="00785E74"/>
    <w:rsid w:val="00785E79"/>
    <w:rsid w:val="00787DDD"/>
    <w:rsid w:val="00794345"/>
    <w:rsid w:val="00797A15"/>
    <w:rsid w:val="007A348F"/>
    <w:rsid w:val="007A3777"/>
    <w:rsid w:val="007A41AC"/>
    <w:rsid w:val="007A4485"/>
    <w:rsid w:val="007A5110"/>
    <w:rsid w:val="007A5742"/>
    <w:rsid w:val="007B0701"/>
    <w:rsid w:val="007B164B"/>
    <w:rsid w:val="007B1813"/>
    <w:rsid w:val="007B47F9"/>
    <w:rsid w:val="007B6E6E"/>
    <w:rsid w:val="007C15D2"/>
    <w:rsid w:val="007C1C65"/>
    <w:rsid w:val="007C37AA"/>
    <w:rsid w:val="007C6385"/>
    <w:rsid w:val="007D027B"/>
    <w:rsid w:val="007D0798"/>
    <w:rsid w:val="007D1A9D"/>
    <w:rsid w:val="007D372B"/>
    <w:rsid w:val="007D3ED6"/>
    <w:rsid w:val="007D40BC"/>
    <w:rsid w:val="007D475F"/>
    <w:rsid w:val="007D4A55"/>
    <w:rsid w:val="007D7698"/>
    <w:rsid w:val="007E2483"/>
    <w:rsid w:val="007E2CF7"/>
    <w:rsid w:val="007E3452"/>
    <w:rsid w:val="007E76B6"/>
    <w:rsid w:val="007F201A"/>
    <w:rsid w:val="007F2847"/>
    <w:rsid w:val="007F328C"/>
    <w:rsid w:val="007F55D4"/>
    <w:rsid w:val="007F5EF1"/>
    <w:rsid w:val="007F60A3"/>
    <w:rsid w:val="00800A1F"/>
    <w:rsid w:val="00803DDB"/>
    <w:rsid w:val="0080519D"/>
    <w:rsid w:val="00807790"/>
    <w:rsid w:val="00812FA5"/>
    <w:rsid w:val="00815DA6"/>
    <w:rsid w:val="00815DCB"/>
    <w:rsid w:val="0081650D"/>
    <w:rsid w:val="008176F8"/>
    <w:rsid w:val="00817D09"/>
    <w:rsid w:val="00820BA0"/>
    <w:rsid w:val="008229AA"/>
    <w:rsid w:val="00824C57"/>
    <w:rsid w:val="008300E1"/>
    <w:rsid w:val="008310D6"/>
    <w:rsid w:val="0083224C"/>
    <w:rsid w:val="00834836"/>
    <w:rsid w:val="008372FF"/>
    <w:rsid w:val="0083768E"/>
    <w:rsid w:val="00837EBC"/>
    <w:rsid w:val="0084594A"/>
    <w:rsid w:val="008565C3"/>
    <w:rsid w:val="0086100B"/>
    <w:rsid w:val="00862D72"/>
    <w:rsid w:val="00863F0E"/>
    <w:rsid w:val="008661B4"/>
    <w:rsid w:val="0087095F"/>
    <w:rsid w:val="00876CB3"/>
    <w:rsid w:val="00877A13"/>
    <w:rsid w:val="0088071B"/>
    <w:rsid w:val="00882799"/>
    <w:rsid w:val="00883808"/>
    <w:rsid w:val="00883AF4"/>
    <w:rsid w:val="00886A61"/>
    <w:rsid w:val="0089195B"/>
    <w:rsid w:val="00895383"/>
    <w:rsid w:val="008A0077"/>
    <w:rsid w:val="008A0215"/>
    <w:rsid w:val="008A1C74"/>
    <w:rsid w:val="008A3C65"/>
    <w:rsid w:val="008A46DD"/>
    <w:rsid w:val="008B004D"/>
    <w:rsid w:val="008B7434"/>
    <w:rsid w:val="008B75D4"/>
    <w:rsid w:val="008C03F3"/>
    <w:rsid w:val="008C11E9"/>
    <w:rsid w:val="008C1728"/>
    <w:rsid w:val="008C4954"/>
    <w:rsid w:val="008C5F2F"/>
    <w:rsid w:val="008C6B59"/>
    <w:rsid w:val="008D0F71"/>
    <w:rsid w:val="008D1410"/>
    <w:rsid w:val="008D1E9D"/>
    <w:rsid w:val="008D2A88"/>
    <w:rsid w:val="008D4587"/>
    <w:rsid w:val="008D5C10"/>
    <w:rsid w:val="008E3A46"/>
    <w:rsid w:val="008E505C"/>
    <w:rsid w:val="008E522C"/>
    <w:rsid w:val="008E5549"/>
    <w:rsid w:val="008E5CED"/>
    <w:rsid w:val="008E5FE9"/>
    <w:rsid w:val="008E7E8F"/>
    <w:rsid w:val="008F13C5"/>
    <w:rsid w:val="008F2E9A"/>
    <w:rsid w:val="008F35BF"/>
    <w:rsid w:val="008F3B0E"/>
    <w:rsid w:val="008F41C9"/>
    <w:rsid w:val="008F6CB7"/>
    <w:rsid w:val="008F7A1E"/>
    <w:rsid w:val="009003C7"/>
    <w:rsid w:val="00900E48"/>
    <w:rsid w:val="009018DE"/>
    <w:rsid w:val="00903E39"/>
    <w:rsid w:val="0090403A"/>
    <w:rsid w:val="00910AB1"/>
    <w:rsid w:val="00912400"/>
    <w:rsid w:val="009137C1"/>
    <w:rsid w:val="00913C79"/>
    <w:rsid w:val="00915884"/>
    <w:rsid w:val="00916AE7"/>
    <w:rsid w:val="00921119"/>
    <w:rsid w:val="0092253F"/>
    <w:rsid w:val="00922FF2"/>
    <w:rsid w:val="0092464E"/>
    <w:rsid w:val="009249F4"/>
    <w:rsid w:val="00924F58"/>
    <w:rsid w:val="00926613"/>
    <w:rsid w:val="00926F15"/>
    <w:rsid w:val="009272FC"/>
    <w:rsid w:val="009314EE"/>
    <w:rsid w:val="0093215D"/>
    <w:rsid w:val="0093305C"/>
    <w:rsid w:val="009364DA"/>
    <w:rsid w:val="009427DE"/>
    <w:rsid w:val="009450F4"/>
    <w:rsid w:val="009462B0"/>
    <w:rsid w:val="00956108"/>
    <w:rsid w:val="00957183"/>
    <w:rsid w:val="00960AFA"/>
    <w:rsid w:val="0096280C"/>
    <w:rsid w:val="00967530"/>
    <w:rsid w:val="00970620"/>
    <w:rsid w:val="00970716"/>
    <w:rsid w:val="00972A65"/>
    <w:rsid w:val="00972BED"/>
    <w:rsid w:val="009750D0"/>
    <w:rsid w:val="009756E1"/>
    <w:rsid w:val="00975735"/>
    <w:rsid w:val="00975BF1"/>
    <w:rsid w:val="00976071"/>
    <w:rsid w:val="0098154A"/>
    <w:rsid w:val="00981A31"/>
    <w:rsid w:val="00982378"/>
    <w:rsid w:val="009838CD"/>
    <w:rsid w:val="0099146B"/>
    <w:rsid w:val="00994977"/>
    <w:rsid w:val="009A2A7A"/>
    <w:rsid w:val="009A329B"/>
    <w:rsid w:val="009A5504"/>
    <w:rsid w:val="009A62CD"/>
    <w:rsid w:val="009A6798"/>
    <w:rsid w:val="009A7057"/>
    <w:rsid w:val="009B0D52"/>
    <w:rsid w:val="009B2E4D"/>
    <w:rsid w:val="009B5FEC"/>
    <w:rsid w:val="009B6203"/>
    <w:rsid w:val="009C32A8"/>
    <w:rsid w:val="009C3608"/>
    <w:rsid w:val="009C5328"/>
    <w:rsid w:val="009C7810"/>
    <w:rsid w:val="009C7F0A"/>
    <w:rsid w:val="009D0416"/>
    <w:rsid w:val="009D53D6"/>
    <w:rsid w:val="009E3ACD"/>
    <w:rsid w:val="009E69AC"/>
    <w:rsid w:val="009E7F66"/>
    <w:rsid w:val="009F20CF"/>
    <w:rsid w:val="009F2AE5"/>
    <w:rsid w:val="009F499A"/>
    <w:rsid w:val="009F4BDD"/>
    <w:rsid w:val="009F529C"/>
    <w:rsid w:val="00A0490C"/>
    <w:rsid w:val="00A10A6C"/>
    <w:rsid w:val="00A10A98"/>
    <w:rsid w:val="00A16B27"/>
    <w:rsid w:val="00A22348"/>
    <w:rsid w:val="00A23723"/>
    <w:rsid w:val="00A2576C"/>
    <w:rsid w:val="00A2613D"/>
    <w:rsid w:val="00A26E4A"/>
    <w:rsid w:val="00A270C9"/>
    <w:rsid w:val="00A301E4"/>
    <w:rsid w:val="00A30F68"/>
    <w:rsid w:val="00A33985"/>
    <w:rsid w:val="00A33E88"/>
    <w:rsid w:val="00A347BD"/>
    <w:rsid w:val="00A35A77"/>
    <w:rsid w:val="00A364F8"/>
    <w:rsid w:val="00A36D9E"/>
    <w:rsid w:val="00A376C3"/>
    <w:rsid w:val="00A40FFA"/>
    <w:rsid w:val="00A41C07"/>
    <w:rsid w:val="00A453ED"/>
    <w:rsid w:val="00A501EB"/>
    <w:rsid w:val="00A51408"/>
    <w:rsid w:val="00A55FBB"/>
    <w:rsid w:val="00A57AD3"/>
    <w:rsid w:val="00A640C4"/>
    <w:rsid w:val="00A6470A"/>
    <w:rsid w:val="00A6701C"/>
    <w:rsid w:val="00A6708F"/>
    <w:rsid w:val="00A67901"/>
    <w:rsid w:val="00A7446F"/>
    <w:rsid w:val="00A814EE"/>
    <w:rsid w:val="00A83337"/>
    <w:rsid w:val="00A83DB4"/>
    <w:rsid w:val="00A83E3B"/>
    <w:rsid w:val="00A868C7"/>
    <w:rsid w:val="00A86EB1"/>
    <w:rsid w:val="00A878B3"/>
    <w:rsid w:val="00A90851"/>
    <w:rsid w:val="00A9317C"/>
    <w:rsid w:val="00A95B6B"/>
    <w:rsid w:val="00A971EA"/>
    <w:rsid w:val="00AA258A"/>
    <w:rsid w:val="00AA27D0"/>
    <w:rsid w:val="00AA4F5A"/>
    <w:rsid w:val="00AA7113"/>
    <w:rsid w:val="00AB1FE7"/>
    <w:rsid w:val="00AB2602"/>
    <w:rsid w:val="00AB3BEA"/>
    <w:rsid w:val="00AB74DB"/>
    <w:rsid w:val="00AC1F24"/>
    <w:rsid w:val="00AC3693"/>
    <w:rsid w:val="00AC4172"/>
    <w:rsid w:val="00AC5FC5"/>
    <w:rsid w:val="00AC6A03"/>
    <w:rsid w:val="00AC793C"/>
    <w:rsid w:val="00AD3A26"/>
    <w:rsid w:val="00AD48C9"/>
    <w:rsid w:val="00AD526C"/>
    <w:rsid w:val="00AE0BDA"/>
    <w:rsid w:val="00AE2098"/>
    <w:rsid w:val="00AE411E"/>
    <w:rsid w:val="00AE4F95"/>
    <w:rsid w:val="00AE63A1"/>
    <w:rsid w:val="00AE78B1"/>
    <w:rsid w:val="00AF23A3"/>
    <w:rsid w:val="00B0583E"/>
    <w:rsid w:val="00B067D8"/>
    <w:rsid w:val="00B12BC1"/>
    <w:rsid w:val="00B130E3"/>
    <w:rsid w:val="00B138E0"/>
    <w:rsid w:val="00B153C5"/>
    <w:rsid w:val="00B16055"/>
    <w:rsid w:val="00B16AC2"/>
    <w:rsid w:val="00B23EC0"/>
    <w:rsid w:val="00B24AF3"/>
    <w:rsid w:val="00B2688E"/>
    <w:rsid w:val="00B318EA"/>
    <w:rsid w:val="00B32E19"/>
    <w:rsid w:val="00B35AAF"/>
    <w:rsid w:val="00B40BD7"/>
    <w:rsid w:val="00B412A3"/>
    <w:rsid w:val="00B41EBB"/>
    <w:rsid w:val="00B41F29"/>
    <w:rsid w:val="00B42106"/>
    <w:rsid w:val="00B53022"/>
    <w:rsid w:val="00B530DB"/>
    <w:rsid w:val="00B53B9D"/>
    <w:rsid w:val="00B53BF2"/>
    <w:rsid w:val="00B55D0E"/>
    <w:rsid w:val="00B61442"/>
    <w:rsid w:val="00B62B96"/>
    <w:rsid w:val="00B674DF"/>
    <w:rsid w:val="00B67A2B"/>
    <w:rsid w:val="00B70275"/>
    <w:rsid w:val="00B70A13"/>
    <w:rsid w:val="00B7501B"/>
    <w:rsid w:val="00B76095"/>
    <w:rsid w:val="00B77FF1"/>
    <w:rsid w:val="00B85307"/>
    <w:rsid w:val="00B85AE1"/>
    <w:rsid w:val="00B91BCF"/>
    <w:rsid w:val="00B9229D"/>
    <w:rsid w:val="00B92D81"/>
    <w:rsid w:val="00B96766"/>
    <w:rsid w:val="00B96767"/>
    <w:rsid w:val="00B96E78"/>
    <w:rsid w:val="00BA0927"/>
    <w:rsid w:val="00BA13B2"/>
    <w:rsid w:val="00BA7EBA"/>
    <w:rsid w:val="00BB1909"/>
    <w:rsid w:val="00BB414D"/>
    <w:rsid w:val="00BB4C90"/>
    <w:rsid w:val="00BB4FA4"/>
    <w:rsid w:val="00BB612B"/>
    <w:rsid w:val="00BB6183"/>
    <w:rsid w:val="00BB6AD1"/>
    <w:rsid w:val="00BC24C2"/>
    <w:rsid w:val="00BC29AB"/>
    <w:rsid w:val="00BC4594"/>
    <w:rsid w:val="00BC510A"/>
    <w:rsid w:val="00BC5438"/>
    <w:rsid w:val="00BC56D6"/>
    <w:rsid w:val="00BC614F"/>
    <w:rsid w:val="00BC73D8"/>
    <w:rsid w:val="00BD3141"/>
    <w:rsid w:val="00BD3605"/>
    <w:rsid w:val="00BD6D49"/>
    <w:rsid w:val="00BE08CC"/>
    <w:rsid w:val="00BE3848"/>
    <w:rsid w:val="00BE45C6"/>
    <w:rsid w:val="00BE4790"/>
    <w:rsid w:val="00BE64FD"/>
    <w:rsid w:val="00BE6B54"/>
    <w:rsid w:val="00BF3C55"/>
    <w:rsid w:val="00BF3D07"/>
    <w:rsid w:val="00BF4C1B"/>
    <w:rsid w:val="00BF527C"/>
    <w:rsid w:val="00BF77A4"/>
    <w:rsid w:val="00BF7A1D"/>
    <w:rsid w:val="00C0047B"/>
    <w:rsid w:val="00C029B7"/>
    <w:rsid w:val="00C03994"/>
    <w:rsid w:val="00C042BF"/>
    <w:rsid w:val="00C10F37"/>
    <w:rsid w:val="00C136FD"/>
    <w:rsid w:val="00C14931"/>
    <w:rsid w:val="00C14E4A"/>
    <w:rsid w:val="00C1542F"/>
    <w:rsid w:val="00C15C1F"/>
    <w:rsid w:val="00C174A4"/>
    <w:rsid w:val="00C20A39"/>
    <w:rsid w:val="00C253BA"/>
    <w:rsid w:val="00C26CD1"/>
    <w:rsid w:val="00C2742F"/>
    <w:rsid w:val="00C31484"/>
    <w:rsid w:val="00C32091"/>
    <w:rsid w:val="00C37CF2"/>
    <w:rsid w:val="00C4549D"/>
    <w:rsid w:val="00C5562B"/>
    <w:rsid w:val="00C562BE"/>
    <w:rsid w:val="00C56EE4"/>
    <w:rsid w:val="00C577BD"/>
    <w:rsid w:val="00C60A69"/>
    <w:rsid w:val="00C60AED"/>
    <w:rsid w:val="00C62D35"/>
    <w:rsid w:val="00C62EE4"/>
    <w:rsid w:val="00C66D88"/>
    <w:rsid w:val="00C70B93"/>
    <w:rsid w:val="00C73A8D"/>
    <w:rsid w:val="00C76116"/>
    <w:rsid w:val="00C81A7B"/>
    <w:rsid w:val="00C82272"/>
    <w:rsid w:val="00C8243E"/>
    <w:rsid w:val="00C82D1A"/>
    <w:rsid w:val="00C83747"/>
    <w:rsid w:val="00C852EC"/>
    <w:rsid w:val="00C858AA"/>
    <w:rsid w:val="00C908F5"/>
    <w:rsid w:val="00C91263"/>
    <w:rsid w:val="00C918CA"/>
    <w:rsid w:val="00C93ACE"/>
    <w:rsid w:val="00C94830"/>
    <w:rsid w:val="00C9674D"/>
    <w:rsid w:val="00CA07A5"/>
    <w:rsid w:val="00CA12C2"/>
    <w:rsid w:val="00CA2DF0"/>
    <w:rsid w:val="00CA31EB"/>
    <w:rsid w:val="00CA5080"/>
    <w:rsid w:val="00CA7DF1"/>
    <w:rsid w:val="00CB052F"/>
    <w:rsid w:val="00CB22AA"/>
    <w:rsid w:val="00CB3307"/>
    <w:rsid w:val="00CC2627"/>
    <w:rsid w:val="00CC2EF4"/>
    <w:rsid w:val="00CC5C8B"/>
    <w:rsid w:val="00CC7A94"/>
    <w:rsid w:val="00CD0C4B"/>
    <w:rsid w:val="00CD0F94"/>
    <w:rsid w:val="00CD1C2D"/>
    <w:rsid w:val="00CD2290"/>
    <w:rsid w:val="00CD2C4D"/>
    <w:rsid w:val="00CD5D26"/>
    <w:rsid w:val="00CD673D"/>
    <w:rsid w:val="00CD7065"/>
    <w:rsid w:val="00CE0DAF"/>
    <w:rsid w:val="00CE472E"/>
    <w:rsid w:val="00CE646C"/>
    <w:rsid w:val="00CE6732"/>
    <w:rsid w:val="00CF1ED6"/>
    <w:rsid w:val="00CF2D85"/>
    <w:rsid w:val="00CF3D55"/>
    <w:rsid w:val="00CF6036"/>
    <w:rsid w:val="00CF766C"/>
    <w:rsid w:val="00D07538"/>
    <w:rsid w:val="00D107AD"/>
    <w:rsid w:val="00D16C52"/>
    <w:rsid w:val="00D20E31"/>
    <w:rsid w:val="00D21502"/>
    <w:rsid w:val="00D2168F"/>
    <w:rsid w:val="00D21EF1"/>
    <w:rsid w:val="00D257DB"/>
    <w:rsid w:val="00D26AEA"/>
    <w:rsid w:val="00D26B74"/>
    <w:rsid w:val="00D31652"/>
    <w:rsid w:val="00D34F22"/>
    <w:rsid w:val="00D3602D"/>
    <w:rsid w:val="00D43CEA"/>
    <w:rsid w:val="00D43EEC"/>
    <w:rsid w:val="00D44321"/>
    <w:rsid w:val="00D5397D"/>
    <w:rsid w:val="00D56BAE"/>
    <w:rsid w:val="00D5745D"/>
    <w:rsid w:val="00D57F40"/>
    <w:rsid w:val="00D61FAD"/>
    <w:rsid w:val="00D7015C"/>
    <w:rsid w:val="00D7798E"/>
    <w:rsid w:val="00D8153B"/>
    <w:rsid w:val="00D828EC"/>
    <w:rsid w:val="00D856A5"/>
    <w:rsid w:val="00D87277"/>
    <w:rsid w:val="00D87354"/>
    <w:rsid w:val="00D8763F"/>
    <w:rsid w:val="00D90760"/>
    <w:rsid w:val="00D94284"/>
    <w:rsid w:val="00D94F72"/>
    <w:rsid w:val="00D95A0D"/>
    <w:rsid w:val="00DA1F26"/>
    <w:rsid w:val="00DA34B8"/>
    <w:rsid w:val="00DA49EA"/>
    <w:rsid w:val="00DA6F4F"/>
    <w:rsid w:val="00DA7059"/>
    <w:rsid w:val="00DA7675"/>
    <w:rsid w:val="00DB24D3"/>
    <w:rsid w:val="00DB25A9"/>
    <w:rsid w:val="00DB2774"/>
    <w:rsid w:val="00DB4820"/>
    <w:rsid w:val="00DB6BE7"/>
    <w:rsid w:val="00DB7CC7"/>
    <w:rsid w:val="00DC4647"/>
    <w:rsid w:val="00DC5465"/>
    <w:rsid w:val="00DC55D9"/>
    <w:rsid w:val="00DC6D04"/>
    <w:rsid w:val="00DC7EB7"/>
    <w:rsid w:val="00DD0A5D"/>
    <w:rsid w:val="00DD0C9D"/>
    <w:rsid w:val="00DD42C8"/>
    <w:rsid w:val="00DE0B36"/>
    <w:rsid w:val="00DE5C3C"/>
    <w:rsid w:val="00DE7C1C"/>
    <w:rsid w:val="00DF1A6D"/>
    <w:rsid w:val="00DF2FD2"/>
    <w:rsid w:val="00DF5E05"/>
    <w:rsid w:val="00DF5FDA"/>
    <w:rsid w:val="00E01363"/>
    <w:rsid w:val="00E02A15"/>
    <w:rsid w:val="00E0386D"/>
    <w:rsid w:val="00E06369"/>
    <w:rsid w:val="00E06E41"/>
    <w:rsid w:val="00E07175"/>
    <w:rsid w:val="00E071DF"/>
    <w:rsid w:val="00E10B0A"/>
    <w:rsid w:val="00E10E41"/>
    <w:rsid w:val="00E11941"/>
    <w:rsid w:val="00E12DFA"/>
    <w:rsid w:val="00E15EAC"/>
    <w:rsid w:val="00E16AE0"/>
    <w:rsid w:val="00E17312"/>
    <w:rsid w:val="00E17322"/>
    <w:rsid w:val="00E205BB"/>
    <w:rsid w:val="00E22B2A"/>
    <w:rsid w:val="00E26E5E"/>
    <w:rsid w:val="00E32FBA"/>
    <w:rsid w:val="00E35A8D"/>
    <w:rsid w:val="00E36DE8"/>
    <w:rsid w:val="00E406A7"/>
    <w:rsid w:val="00E41789"/>
    <w:rsid w:val="00E43FD5"/>
    <w:rsid w:val="00E502F1"/>
    <w:rsid w:val="00E51DCC"/>
    <w:rsid w:val="00E52036"/>
    <w:rsid w:val="00E541A4"/>
    <w:rsid w:val="00E541B3"/>
    <w:rsid w:val="00E56A30"/>
    <w:rsid w:val="00E57AF3"/>
    <w:rsid w:val="00E62AB6"/>
    <w:rsid w:val="00E727EC"/>
    <w:rsid w:val="00E7332B"/>
    <w:rsid w:val="00E765A2"/>
    <w:rsid w:val="00E77659"/>
    <w:rsid w:val="00E777A2"/>
    <w:rsid w:val="00E818A0"/>
    <w:rsid w:val="00E823B7"/>
    <w:rsid w:val="00E829AC"/>
    <w:rsid w:val="00E82CC1"/>
    <w:rsid w:val="00E83409"/>
    <w:rsid w:val="00E90853"/>
    <w:rsid w:val="00E9186E"/>
    <w:rsid w:val="00E92493"/>
    <w:rsid w:val="00E962B7"/>
    <w:rsid w:val="00E972FB"/>
    <w:rsid w:val="00E97DF3"/>
    <w:rsid w:val="00EA1B01"/>
    <w:rsid w:val="00EA2864"/>
    <w:rsid w:val="00EA2C8E"/>
    <w:rsid w:val="00EA3107"/>
    <w:rsid w:val="00EA3728"/>
    <w:rsid w:val="00EA3A6C"/>
    <w:rsid w:val="00EA40A8"/>
    <w:rsid w:val="00EB3781"/>
    <w:rsid w:val="00EB3B16"/>
    <w:rsid w:val="00EB70B9"/>
    <w:rsid w:val="00EB70BE"/>
    <w:rsid w:val="00EC33EA"/>
    <w:rsid w:val="00EC39DC"/>
    <w:rsid w:val="00EC4099"/>
    <w:rsid w:val="00EC5B76"/>
    <w:rsid w:val="00EC5E64"/>
    <w:rsid w:val="00EC6E29"/>
    <w:rsid w:val="00ED17B8"/>
    <w:rsid w:val="00ED4602"/>
    <w:rsid w:val="00ED5731"/>
    <w:rsid w:val="00ED6185"/>
    <w:rsid w:val="00ED71F7"/>
    <w:rsid w:val="00ED7D89"/>
    <w:rsid w:val="00EE122F"/>
    <w:rsid w:val="00EE41E7"/>
    <w:rsid w:val="00EE4715"/>
    <w:rsid w:val="00EE5821"/>
    <w:rsid w:val="00EE6ABD"/>
    <w:rsid w:val="00EE7F79"/>
    <w:rsid w:val="00EF0B20"/>
    <w:rsid w:val="00EF1115"/>
    <w:rsid w:val="00EF3858"/>
    <w:rsid w:val="00EF4EE2"/>
    <w:rsid w:val="00EF5570"/>
    <w:rsid w:val="00EF6392"/>
    <w:rsid w:val="00EF73D1"/>
    <w:rsid w:val="00EF7473"/>
    <w:rsid w:val="00F01A33"/>
    <w:rsid w:val="00F03B6F"/>
    <w:rsid w:val="00F03F11"/>
    <w:rsid w:val="00F0409F"/>
    <w:rsid w:val="00F0794F"/>
    <w:rsid w:val="00F07D40"/>
    <w:rsid w:val="00F1114A"/>
    <w:rsid w:val="00F11D64"/>
    <w:rsid w:val="00F12A60"/>
    <w:rsid w:val="00F13F21"/>
    <w:rsid w:val="00F168C3"/>
    <w:rsid w:val="00F16CDA"/>
    <w:rsid w:val="00F22017"/>
    <w:rsid w:val="00F241D3"/>
    <w:rsid w:val="00F2578F"/>
    <w:rsid w:val="00F25D60"/>
    <w:rsid w:val="00F275BC"/>
    <w:rsid w:val="00F27853"/>
    <w:rsid w:val="00F30143"/>
    <w:rsid w:val="00F30561"/>
    <w:rsid w:val="00F3065C"/>
    <w:rsid w:val="00F3319B"/>
    <w:rsid w:val="00F35A9B"/>
    <w:rsid w:val="00F35DB7"/>
    <w:rsid w:val="00F37E6F"/>
    <w:rsid w:val="00F404BF"/>
    <w:rsid w:val="00F407BD"/>
    <w:rsid w:val="00F414A9"/>
    <w:rsid w:val="00F418B6"/>
    <w:rsid w:val="00F4245C"/>
    <w:rsid w:val="00F42FBE"/>
    <w:rsid w:val="00F454F6"/>
    <w:rsid w:val="00F4692F"/>
    <w:rsid w:val="00F51F8B"/>
    <w:rsid w:val="00F52AB8"/>
    <w:rsid w:val="00F54B5A"/>
    <w:rsid w:val="00F55D01"/>
    <w:rsid w:val="00F60D78"/>
    <w:rsid w:val="00F60FB9"/>
    <w:rsid w:val="00F6309A"/>
    <w:rsid w:val="00F64C02"/>
    <w:rsid w:val="00F67C35"/>
    <w:rsid w:val="00F73E0A"/>
    <w:rsid w:val="00F74A7D"/>
    <w:rsid w:val="00F74ABC"/>
    <w:rsid w:val="00F74E5D"/>
    <w:rsid w:val="00F762BA"/>
    <w:rsid w:val="00F841BB"/>
    <w:rsid w:val="00F84E95"/>
    <w:rsid w:val="00F857E5"/>
    <w:rsid w:val="00F86CC6"/>
    <w:rsid w:val="00F90232"/>
    <w:rsid w:val="00F94742"/>
    <w:rsid w:val="00FA0322"/>
    <w:rsid w:val="00FA135E"/>
    <w:rsid w:val="00FA2417"/>
    <w:rsid w:val="00FA41A3"/>
    <w:rsid w:val="00FB00F6"/>
    <w:rsid w:val="00FB0C95"/>
    <w:rsid w:val="00FB1B66"/>
    <w:rsid w:val="00FB2DAB"/>
    <w:rsid w:val="00FB3E89"/>
    <w:rsid w:val="00FB4FD6"/>
    <w:rsid w:val="00FC1633"/>
    <w:rsid w:val="00FC33FF"/>
    <w:rsid w:val="00FC3C7A"/>
    <w:rsid w:val="00FC5F08"/>
    <w:rsid w:val="00FD1172"/>
    <w:rsid w:val="00FD1CF1"/>
    <w:rsid w:val="00FD2FC4"/>
    <w:rsid w:val="00FD30F7"/>
    <w:rsid w:val="00FD3AE2"/>
    <w:rsid w:val="00FD611E"/>
    <w:rsid w:val="00FD77DB"/>
    <w:rsid w:val="00FE159A"/>
    <w:rsid w:val="00FE2C8E"/>
    <w:rsid w:val="00FE5AF9"/>
    <w:rsid w:val="00FE6E6D"/>
    <w:rsid w:val="00FF7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22A7C"/>
  <w15:chartTrackingRefBased/>
  <w15:docId w15:val="{FE408589-192C-4924-B687-26675FB1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A55"/>
  </w:style>
  <w:style w:type="paragraph" w:styleId="Heading1">
    <w:name w:val="heading 1"/>
    <w:basedOn w:val="Normal"/>
    <w:next w:val="Normal"/>
    <w:link w:val="Heading1Char"/>
    <w:uiPriority w:val="9"/>
    <w:qFormat/>
    <w:rsid w:val="002C3C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0E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C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0E8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16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75AC"/>
    <w:pPr>
      <w:ind w:left="720"/>
      <w:contextualSpacing/>
    </w:pPr>
  </w:style>
  <w:style w:type="character" w:styleId="CommentReference">
    <w:name w:val="annotation reference"/>
    <w:basedOn w:val="DefaultParagraphFont"/>
    <w:uiPriority w:val="99"/>
    <w:semiHidden/>
    <w:unhideWhenUsed/>
    <w:rsid w:val="005021D3"/>
    <w:rPr>
      <w:sz w:val="16"/>
      <w:szCs w:val="16"/>
    </w:rPr>
  </w:style>
  <w:style w:type="paragraph" w:styleId="CommentText">
    <w:name w:val="annotation text"/>
    <w:basedOn w:val="Normal"/>
    <w:link w:val="CommentTextChar"/>
    <w:uiPriority w:val="99"/>
    <w:unhideWhenUsed/>
    <w:rsid w:val="005021D3"/>
    <w:pPr>
      <w:spacing w:line="240" w:lineRule="auto"/>
    </w:pPr>
    <w:rPr>
      <w:sz w:val="20"/>
      <w:szCs w:val="20"/>
    </w:rPr>
  </w:style>
  <w:style w:type="character" w:customStyle="1" w:styleId="CommentTextChar">
    <w:name w:val="Comment Text Char"/>
    <w:basedOn w:val="DefaultParagraphFont"/>
    <w:link w:val="CommentText"/>
    <w:uiPriority w:val="99"/>
    <w:rsid w:val="005021D3"/>
    <w:rPr>
      <w:sz w:val="20"/>
      <w:szCs w:val="20"/>
    </w:rPr>
  </w:style>
  <w:style w:type="paragraph" w:styleId="CommentSubject">
    <w:name w:val="annotation subject"/>
    <w:basedOn w:val="CommentText"/>
    <w:next w:val="CommentText"/>
    <w:link w:val="CommentSubjectChar"/>
    <w:uiPriority w:val="99"/>
    <w:semiHidden/>
    <w:unhideWhenUsed/>
    <w:rsid w:val="005021D3"/>
    <w:rPr>
      <w:b/>
      <w:bCs/>
    </w:rPr>
  </w:style>
  <w:style w:type="character" w:customStyle="1" w:styleId="CommentSubjectChar">
    <w:name w:val="Comment Subject Char"/>
    <w:basedOn w:val="CommentTextChar"/>
    <w:link w:val="CommentSubject"/>
    <w:uiPriority w:val="99"/>
    <w:semiHidden/>
    <w:rsid w:val="005021D3"/>
    <w:rPr>
      <w:b/>
      <w:bCs/>
      <w:sz w:val="20"/>
      <w:szCs w:val="20"/>
    </w:rPr>
  </w:style>
  <w:style w:type="paragraph" w:styleId="BalloonText">
    <w:name w:val="Balloon Text"/>
    <w:basedOn w:val="Normal"/>
    <w:link w:val="BalloonTextChar"/>
    <w:uiPriority w:val="99"/>
    <w:semiHidden/>
    <w:unhideWhenUsed/>
    <w:rsid w:val="00502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1D3"/>
    <w:rPr>
      <w:rFonts w:ascii="Segoe UI" w:hAnsi="Segoe UI" w:cs="Segoe UI"/>
      <w:sz w:val="18"/>
      <w:szCs w:val="18"/>
    </w:rPr>
  </w:style>
  <w:style w:type="table" w:customStyle="1" w:styleId="TableGrid1">
    <w:name w:val="Table Grid1"/>
    <w:basedOn w:val="TableNormal"/>
    <w:next w:val="TableGrid"/>
    <w:uiPriority w:val="39"/>
    <w:rsid w:val="00BF4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F4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03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03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C5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21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04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44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C3C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C3C4A"/>
    <w:rPr>
      <w:rFonts w:eastAsiaTheme="minorEastAsia"/>
      <w:lang w:val="en-US"/>
    </w:rPr>
  </w:style>
  <w:style w:type="paragraph" w:styleId="Header">
    <w:name w:val="header"/>
    <w:basedOn w:val="Normal"/>
    <w:link w:val="HeaderChar"/>
    <w:uiPriority w:val="99"/>
    <w:unhideWhenUsed/>
    <w:rsid w:val="002C3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C4A"/>
  </w:style>
  <w:style w:type="paragraph" w:styleId="Footer">
    <w:name w:val="footer"/>
    <w:basedOn w:val="Normal"/>
    <w:link w:val="FooterChar"/>
    <w:uiPriority w:val="99"/>
    <w:unhideWhenUsed/>
    <w:rsid w:val="002C3C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C4A"/>
  </w:style>
  <w:style w:type="paragraph" w:styleId="TOCHeading">
    <w:name w:val="TOC Heading"/>
    <w:basedOn w:val="Heading1"/>
    <w:next w:val="Normal"/>
    <w:uiPriority w:val="39"/>
    <w:unhideWhenUsed/>
    <w:qFormat/>
    <w:rsid w:val="002C3C4A"/>
    <w:pPr>
      <w:outlineLvl w:val="9"/>
    </w:pPr>
    <w:rPr>
      <w:lang w:val="en-US"/>
    </w:rPr>
  </w:style>
  <w:style w:type="paragraph" w:styleId="TOC2">
    <w:name w:val="toc 2"/>
    <w:basedOn w:val="Normal"/>
    <w:next w:val="Normal"/>
    <w:autoRedefine/>
    <w:uiPriority w:val="39"/>
    <w:unhideWhenUsed/>
    <w:rsid w:val="002C3C4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C3C4A"/>
    <w:pPr>
      <w:spacing w:after="100"/>
    </w:pPr>
    <w:rPr>
      <w:rFonts w:eastAsiaTheme="minorEastAsia" w:cs="Times New Roman"/>
      <w:lang w:val="en-US"/>
    </w:rPr>
  </w:style>
  <w:style w:type="paragraph" w:styleId="TOC3">
    <w:name w:val="toc 3"/>
    <w:basedOn w:val="Normal"/>
    <w:next w:val="Normal"/>
    <w:autoRedefine/>
    <w:uiPriority w:val="39"/>
    <w:unhideWhenUsed/>
    <w:rsid w:val="002C3C4A"/>
    <w:pPr>
      <w:spacing w:after="100"/>
      <w:ind w:left="440"/>
    </w:pPr>
    <w:rPr>
      <w:rFonts w:eastAsiaTheme="minorEastAsia" w:cs="Times New Roman"/>
      <w:lang w:val="en-US"/>
    </w:rPr>
  </w:style>
  <w:style w:type="character" w:styleId="Hyperlink">
    <w:name w:val="Hyperlink"/>
    <w:basedOn w:val="DefaultParagraphFont"/>
    <w:uiPriority w:val="99"/>
    <w:unhideWhenUsed/>
    <w:rsid w:val="002C3C4A"/>
    <w:rPr>
      <w:color w:val="0563C1" w:themeColor="hyperlink"/>
      <w:u w:val="single"/>
    </w:rPr>
  </w:style>
  <w:style w:type="paragraph" w:styleId="Title">
    <w:name w:val="Title"/>
    <w:basedOn w:val="Normal"/>
    <w:next w:val="Normal"/>
    <w:link w:val="TitleChar"/>
    <w:uiPriority w:val="10"/>
    <w:qFormat/>
    <w:rsid w:val="002D0E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0E83"/>
    <w:rPr>
      <w:rFonts w:asciiTheme="majorHAnsi" w:eastAsiaTheme="majorEastAsia" w:hAnsiTheme="majorHAnsi" w:cstheme="majorBidi"/>
      <w:spacing w:val="-10"/>
      <w:kern w:val="28"/>
      <w:sz w:val="56"/>
      <w:szCs w:val="56"/>
    </w:rPr>
  </w:style>
  <w:style w:type="paragraph" w:styleId="TOC4">
    <w:name w:val="toc 4"/>
    <w:basedOn w:val="Normal"/>
    <w:next w:val="Normal"/>
    <w:autoRedefine/>
    <w:uiPriority w:val="39"/>
    <w:unhideWhenUsed/>
    <w:rsid w:val="00440401"/>
    <w:pPr>
      <w:spacing w:after="100"/>
      <w:ind w:left="660"/>
    </w:pPr>
    <w:rPr>
      <w:rFonts w:eastAsiaTheme="minorEastAsia"/>
      <w:lang w:eastAsia="en-GB"/>
    </w:rPr>
  </w:style>
  <w:style w:type="paragraph" w:styleId="TOC5">
    <w:name w:val="toc 5"/>
    <w:basedOn w:val="Normal"/>
    <w:next w:val="Normal"/>
    <w:autoRedefine/>
    <w:uiPriority w:val="39"/>
    <w:unhideWhenUsed/>
    <w:rsid w:val="00440401"/>
    <w:pPr>
      <w:spacing w:after="100"/>
      <w:ind w:left="880"/>
    </w:pPr>
    <w:rPr>
      <w:rFonts w:eastAsiaTheme="minorEastAsia"/>
      <w:lang w:eastAsia="en-GB"/>
    </w:rPr>
  </w:style>
  <w:style w:type="paragraph" w:styleId="TOC6">
    <w:name w:val="toc 6"/>
    <w:basedOn w:val="Normal"/>
    <w:next w:val="Normal"/>
    <w:autoRedefine/>
    <w:uiPriority w:val="39"/>
    <w:unhideWhenUsed/>
    <w:rsid w:val="00440401"/>
    <w:pPr>
      <w:spacing w:after="100"/>
      <w:ind w:left="1100"/>
    </w:pPr>
    <w:rPr>
      <w:rFonts w:eastAsiaTheme="minorEastAsia"/>
      <w:lang w:eastAsia="en-GB"/>
    </w:rPr>
  </w:style>
  <w:style w:type="paragraph" w:styleId="TOC7">
    <w:name w:val="toc 7"/>
    <w:basedOn w:val="Normal"/>
    <w:next w:val="Normal"/>
    <w:autoRedefine/>
    <w:uiPriority w:val="39"/>
    <w:unhideWhenUsed/>
    <w:rsid w:val="00440401"/>
    <w:pPr>
      <w:spacing w:after="100"/>
      <w:ind w:left="1320"/>
    </w:pPr>
    <w:rPr>
      <w:rFonts w:eastAsiaTheme="minorEastAsia"/>
      <w:lang w:eastAsia="en-GB"/>
    </w:rPr>
  </w:style>
  <w:style w:type="paragraph" w:styleId="TOC8">
    <w:name w:val="toc 8"/>
    <w:basedOn w:val="Normal"/>
    <w:next w:val="Normal"/>
    <w:autoRedefine/>
    <w:uiPriority w:val="39"/>
    <w:unhideWhenUsed/>
    <w:rsid w:val="00440401"/>
    <w:pPr>
      <w:spacing w:after="100"/>
      <w:ind w:left="1540"/>
    </w:pPr>
    <w:rPr>
      <w:rFonts w:eastAsiaTheme="minorEastAsia"/>
      <w:lang w:eastAsia="en-GB"/>
    </w:rPr>
  </w:style>
  <w:style w:type="paragraph" w:styleId="TOC9">
    <w:name w:val="toc 9"/>
    <w:basedOn w:val="Normal"/>
    <w:next w:val="Normal"/>
    <w:autoRedefine/>
    <w:uiPriority w:val="39"/>
    <w:unhideWhenUsed/>
    <w:rsid w:val="00440401"/>
    <w:pPr>
      <w:spacing w:after="100"/>
      <w:ind w:left="1760"/>
    </w:pPr>
    <w:rPr>
      <w:rFonts w:eastAsiaTheme="minorEastAsia"/>
      <w:lang w:eastAsia="en-GB"/>
    </w:rPr>
  </w:style>
  <w:style w:type="character" w:styleId="IntenseEmphasis">
    <w:name w:val="Intense Emphasis"/>
    <w:basedOn w:val="DefaultParagraphFont"/>
    <w:uiPriority w:val="21"/>
    <w:qFormat/>
    <w:rsid w:val="003F7E3E"/>
    <w:rPr>
      <w:i/>
      <w:iCs/>
      <w:color w:val="5B9BD5" w:themeColor="accent1"/>
    </w:rPr>
  </w:style>
  <w:style w:type="paragraph" w:customStyle="1" w:styleId="Default">
    <w:name w:val="Default"/>
    <w:rsid w:val="007B16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1441">
      <w:bodyDiv w:val="1"/>
      <w:marLeft w:val="0"/>
      <w:marRight w:val="0"/>
      <w:marTop w:val="0"/>
      <w:marBottom w:val="0"/>
      <w:divBdr>
        <w:top w:val="none" w:sz="0" w:space="0" w:color="auto"/>
        <w:left w:val="none" w:sz="0" w:space="0" w:color="auto"/>
        <w:bottom w:val="none" w:sz="0" w:space="0" w:color="auto"/>
        <w:right w:val="none" w:sz="0" w:space="0" w:color="auto"/>
      </w:divBdr>
    </w:div>
    <w:div w:id="98717436">
      <w:bodyDiv w:val="1"/>
      <w:marLeft w:val="0"/>
      <w:marRight w:val="0"/>
      <w:marTop w:val="0"/>
      <w:marBottom w:val="0"/>
      <w:divBdr>
        <w:top w:val="none" w:sz="0" w:space="0" w:color="auto"/>
        <w:left w:val="none" w:sz="0" w:space="0" w:color="auto"/>
        <w:bottom w:val="none" w:sz="0" w:space="0" w:color="auto"/>
        <w:right w:val="none" w:sz="0" w:space="0" w:color="auto"/>
      </w:divBdr>
    </w:div>
    <w:div w:id="104078580">
      <w:bodyDiv w:val="1"/>
      <w:marLeft w:val="0"/>
      <w:marRight w:val="0"/>
      <w:marTop w:val="0"/>
      <w:marBottom w:val="0"/>
      <w:divBdr>
        <w:top w:val="none" w:sz="0" w:space="0" w:color="auto"/>
        <w:left w:val="none" w:sz="0" w:space="0" w:color="auto"/>
        <w:bottom w:val="none" w:sz="0" w:space="0" w:color="auto"/>
        <w:right w:val="none" w:sz="0" w:space="0" w:color="auto"/>
      </w:divBdr>
    </w:div>
    <w:div w:id="199517409">
      <w:bodyDiv w:val="1"/>
      <w:marLeft w:val="0"/>
      <w:marRight w:val="0"/>
      <w:marTop w:val="0"/>
      <w:marBottom w:val="0"/>
      <w:divBdr>
        <w:top w:val="none" w:sz="0" w:space="0" w:color="auto"/>
        <w:left w:val="none" w:sz="0" w:space="0" w:color="auto"/>
        <w:bottom w:val="none" w:sz="0" w:space="0" w:color="auto"/>
        <w:right w:val="none" w:sz="0" w:space="0" w:color="auto"/>
      </w:divBdr>
    </w:div>
    <w:div w:id="205917678">
      <w:bodyDiv w:val="1"/>
      <w:marLeft w:val="0"/>
      <w:marRight w:val="0"/>
      <w:marTop w:val="0"/>
      <w:marBottom w:val="0"/>
      <w:divBdr>
        <w:top w:val="none" w:sz="0" w:space="0" w:color="auto"/>
        <w:left w:val="none" w:sz="0" w:space="0" w:color="auto"/>
        <w:bottom w:val="none" w:sz="0" w:space="0" w:color="auto"/>
        <w:right w:val="none" w:sz="0" w:space="0" w:color="auto"/>
      </w:divBdr>
    </w:div>
    <w:div w:id="410811420">
      <w:bodyDiv w:val="1"/>
      <w:marLeft w:val="0"/>
      <w:marRight w:val="0"/>
      <w:marTop w:val="0"/>
      <w:marBottom w:val="0"/>
      <w:divBdr>
        <w:top w:val="none" w:sz="0" w:space="0" w:color="auto"/>
        <w:left w:val="none" w:sz="0" w:space="0" w:color="auto"/>
        <w:bottom w:val="none" w:sz="0" w:space="0" w:color="auto"/>
        <w:right w:val="none" w:sz="0" w:space="0" w:color="auto"/>
      </w:divBdr>
    </w:div>
    <w:div w:id="559949452">
      <w:bodyDiv w:val="1"/>
      <w:marLeft w:val="0"/>
      <w:marRight w:val="0"/>
      <w:marTop w:val="0"/>
      <w:marBottom w:val="0"/>
      <w:divBdr>
        <w:top w:val="none" w:sz="0" w:space="0" w:color="auto"/>
        <w:left w:val="none" w:sz="0" w:space="0" w:color="auto"/>
        <w:bottom w:val="none" w:sz="0" w:space="0" w:color="auto"/>
        <w:right w:val="none" w:sz="0" w:space="0" w:color="auto"/>
      </w:divBdr>
    </w:div>
    <w:div w:id="593784542">
      <w:bodyDiv w:val="1"/>
      <w:marLeft w:val="0"/>
      <w:marRight w:val="0"/>
      <w:marTop w:val="0"/>
      <w:marBottom w:val="0"/>
      <w:divBdr>
        <w:top w:val="none" w:sz="0" w:space="0" w:color="auto"/>
        <w:left w:val="none" w:sz="0" w:space="0" w:color="auto"/>
        <w:bottom w:val="none" w:sz="0" w:space="0" w:color="auto"/>
        <w:right w:val="none" w:sz="0" w:space="0" w:color="auto"/>
      </w:divBdr>
    </w:div>
    <w:div w:id="613946258">
      <w:bodyDiv w:val="1"/>
      <w:marLeft w:val="0"/>
      <w:marRight w:val="0"/>
      <w:marTop w:val="0"/>
      <w:marBottom w:val="0"/>
      <w:divBdr>
        <w:top w:val="none" w:sz="0" w:space="0" w:color="auto"/>
        <w:left w:val="none" w:sz="0" w:space="0" w:color="auto"/>
        <w:bottom w:val="none" w:sz="0" w:space="0" w:color="auto"/>
        <w:right w:val="none" w:sz="0" w:space="0" w:color="auto"/>
      </w:divBdr>
    </w:div>
    <w:div w:id="709381041">
      <w:bodyDiv w:val="1"/>
      <w:marLeft w:val="0"/>
      <w:marRight w:val="0"/>
      <w:marTop w:val="0"/>
      <w:marBottom w:val="0"/>
      <w:divBdr>
        <w:top w:val="none" w:sz="0" w:space="0" w:color="auto"/>
        <w:left w:val="none" w:sz="0" w:space="0" w:color="auto"/>
        <w:bottom w:val="none" w:sz="0" w:space="0" w:color="auto"/>
        <w:right w:val="none" w:sz="0" w:space="0" w:color="auto"/>
      </w:divBdr>
    </w:div>
    <w:div w:id="812478873">
      <w:bodyDiv w:val="1"/>
      <w:marLeft w:val="0"/>
      <w:marRight w:val="0"/>
      <w:marTop w:val="0"/>
      <w:marBottom w:val="0"/>
      <w:divBdr>
        <w:top w:val="none" w:sz="0" w:space="0" w:color="auto"/>
        <w:left w:val="none" w:sz="0" w:space="0" w:color="auto"/>
        <w:bottom w:val="none" w:sz="0" w:space="0" w:color="auto"/>
        <w:right w:val="none" w:sz="0" w:space="0" w:color="auto"/>
      </w:divBdr>
    </w:div>
    <w:div w:id="851651545">
      <w:bodyDiv w:val="1"/>
      <w:marLeft w:val="0"/>
      <w:marRight w:val="0"/>
      <w:marTop w:val="0"/>
      <w:marBottom w:val="0"/>
      <w:divBdr>
        <w:top w:val="none" w:sz="0" w:space="0" w:color="auto"/>
        <w:left w:val="none" w:sz="0" w:space="0" w:color="auto"/>
        <w:bottom w:val="none" w:sz="0" w:space="0" w:color="auto"/>
        <w:right w:val="none" w:sz="0" w:space="0" w:color="auto"/>
      </w:divBdr>
    </w:div>
    <w:div w:id="859970730">
      <w:bodyDiv w:val="1"/>
      <w:marLeft w:val="0"/>
      <w:marRight w:val="0"/>
      <w:marTop w:val="0"/>
      <w:marBottom w:val="0"/>
      <w:divBdr>
        <w:top w:val="none" w:sz="0" w:space="0" w:color="auto"/>
        <w:left w:val="none" w:sz="0" w:space="0" w:color="auto"/>
        <w:bottom w:val="none" w:sz="0" w:space="0" w:color="auto"/>
        <w:right w:val="none" w:sz="0" w:space="0" w:color="auto"/>
      </w:divBdr>
    </w:div>
    <w:div w:id="1048870757">
      <w:bodyDiv w:val="1"/>
      <w:marLeft w:val="0"/>
      <w:marRight w:val="0"/>
      <w:marTop w:val="0"/>
      <w:marBottom w:val="0"/>
      <w:divBdr>
        <w:top w:val="none" w:sz="0" w:space="0" w:color="auto"/>
        <w:left w:val="none" w:sz="0" w:space="0" w:color="auto"/>
        <w:bottom w:val="none" w:sz="0" w:space="0" w:color="auto"/>
        <w:right w:val="none" w:sz="0" w:space="0" w:color="auto"/>
      </w:divBdr>
    </w:div>
    <w:div w:id="1061829619">
      <w:bodyDiv w:val="1"/>
      <w:marLeft w:val="0"/>
      <w:marRight w:val="0"/>
      <w:marTop w:val="0"/>
      <w:marBottom w:val="0"/>
      <w:divBdr>
        <w:top w:val="none" w:sz="0" w:space="0" w:color="auto"/>
        <w:left w:val="none" w:sz="0" w:space="0" w:color="auto"/>
        <w:bottom w:val="none" w:sz="0" w:space="0" w:color="auto"/>
        <w:right w:val="none" w:sz="0" w:space="0" w:color="auto"/>
      </w:divBdr>
    </w:div>
    <w:div w:id="1070611757">
      <w:bodyDiv w:val="1"/>
      <w:marLeft w:val="0"/>
      <w:marRight w:val="0"/>
      <w:marTop w:val="0"/>
      <w:marBottom w:val="0"/>
      <w:divBdr>
        <w:top w:val="none" w:sz="0" w:space="0" w:color="auto"/>
        <w:left w:val="none" w:sz="0" w:space="0" w:color="auto"/>
        <w:bottom w:val="none" w:sz="0" w:space="0" w:color="auto"/>
        <w:right w:val="none" w:sz="0" w:space="0" w:color="auto"/>
      </w:divBdr>
    </w:div>
    <w:div w:id="1217205907">
      <w:bodyDiv w:val="1"/>
      <w:marLeft w:val="0"/>
      <w:marRight w:val="0"/>
      <w:marTop w:val="0"/>
      <w:marBottom w:val="0"/>
      <w:divBdr>
        <w:top w:val="none" w:sz="0" w:space="0" w:color="auto"/>
        <w:left w:val="none" w:sz="0" w:space="0" w:color="auto"/>
        <w:bottom w:val="none" w:sz="0" w:space="0" w:color="auto"/>
        <w:right w:val="none" w:sz="0" w:space="0" w:color="auto"/>
      </w:divBdr>
    </w:div>
    <w:div w:id="1254391531">
      <w:bodyDiv w:val="1"/>
      <w:marLeft w:val="0"/>
      <w:marRight w:val="0"/>
      <w:marTop w:val="0"/>
      <w:marBottom w:val="0"/>
      <w:divBdr>
        <w:top w:val="none" w:sz="0" w:space="0" w:color="auto"/>
        <w:left w:val="none" w:sz="0" w:space="0" w:color="auto"/>
        <w:bottom w:val="none" w:sz="0" w:space="0" w:color="auto"/>
        <w:right w:val="none" w:sz="0" w:space="0" w:color="auto"/>
      </w:divBdr>
    </w:div>
    <w:div w:id="1259678282">
      <w:bodyDiv w:val="1"/>
      <w:marLeft w:val="0"/>
      <w:marRight w:val="0"/>
      <w:marTop w:val="0"/>
      <w:marBottom w:val="0"/>
      <w:divBdr>
        <w:top w:val="none" w:sz="0" w:space="0" w:color="auto"/>
        <w:left w:val="none" w:sz="0" w:space="0" w:color="auto"/>
        <w:bottom w:val="none" w:sz="0" w:space="0" w:color="auto"/>
        <w:right w:val="none" w:sz="0" w:space="0" w:color="auto"/>
      </w:divBdr>
    </w:div>
    <w:div w:id="1312637201">
      <w:bodyDiv w:val="1"/>
      <w:marLeft w:val="0"/>
      <w:marRight w:val="0"/>
      <w:marTop w:val="0"/>
      <w:marBottom w:val="0"/>
      <w:divBdr>
        <w:top w:val="none" w:sz="0" w:space="0" w:color="auto"/>
        <w:left w:val="none" w:sz="0" w:space="0" w:color="auto"/>
        <w:bottom w:val="none" w:sz="0" w:space="0" w:color="auto"/>
        <w:right w:val="none" w:sz="0" w:space="0" w:color="auto"/>
      </w:divBdr>
    </w:div>
    <w:div w:id="1337803087">
      <w:bodyDiv w:val="1"/>
      <w:marLeft w:val="0"/>
      <w:marRight w:val="0"/>
      <w:marTop w:val="0"/>
      <w:marBottom w:val="0"/>
      <w:divBdr>
        <w:top w:val="none" w:sz="0" w:space="0" w:color="auto"/>
        <w:left w:val="none" w:sz="0" w:space="0" w:color="auto"/>
        <w:bottom w:val="none" w:sz="0" w:space="0" w:color="auto"/>
        <w:right w:val="none" w:sz="0" w:space="0" w:color="auto"/>
      </w:divBdr>
    </w:div>
    <w:div w:id="1425766079">
      <w:bodyDiv w:val="1"/>
      <w:marLeft w:val="0"/>
      <w:marRight w:val="0"/>
      <w:marTop w:val="0"/>
      <w:marBottom w:val="0"/>
      <w:divBdr>
        <w:top w:val="none" w:sz="0" w:space="0" w:color="auto"/>
        <w:left w:val="none" w:sz="0" w:space="0" w:color="auto"/>
        <w:bottom w:val="none" w:sz="0" w:space="0" w:color="auto"/>
        <w:right w:val="none" w:sz="0" w:space="0" w:color="auto"/>
      </w:divBdr>
    </w:div>
    <w:div w:id="1577938734">
      <w:bodyDiv w:val="1"/>
      <w:marLeft w:val="0"/>
      <w:marRight w:val="0"/>
      <w:marTop w:val="0"/>
      <w:marBottom w:val="0"/>
      <w:divBdr>
        <w:top w:val="none" w:sz="0" w:space="0" w:color="auto"/>
        <w:left w:val="none" w:sz="0" w:space="0" w:color="auto"/>
        <w:bottom w:val="none" w:sz="0" w:space="0" w:color="auto"/>
        <w:right w:val="none" w:sz="0" w:space="0" w:color="auto"/>
      </w:divBdr>
    </w:div>
    <w:div w:id="1621184880">
      <w:bodyDiv w:val="1"/>
      <w:marLeft w:val="0"/>
      <w:marRight w:val="0"/>
      <w:marTop w:val="0"/>
      <w:marBottom w:val="0"/>
      <w:divBdr>
        <w:top w:val="none" w:sz="0" w:space="0" w:color="auto"/>
        <w:left w:val="none" w:sz="0" w:space="0" w:color="auto"/>
        <w:bottom w:val="none" w:sz="0" w:space="0" w:color="auto"/>
        <w:right w:val="none" w:sz="0" w:space="0" w:color="auto"/>
      </w:divBdr>
    </w:div>
    <w:div w:id="1654412393">
      <w:bodyDiv w:val="1"/>
      <w:marLeft w:val="0"/>
      <w:marRight w:val="0"/>
      <w:marTop w:val="0"/>
      <w:marBottom w:val="0"/>
      <w:divBdr>
        <w:top w:val="none" w:sz="0" w:space="0" w:color="auto"/>
        <w:left w:val="none" w:sz="0" w:space="0" w:color="auto"/>
        <w:bottom w:val="none" w:sz="0" w:space="0" w:color="auto"/>
        <w:right w:val="none" w:sz="0" w:space="0" w:color="auto"/>
      </w:divBdr>
    </w:div>
    <w:div w:id="1730806501">
      <w:bodyDiv w:val="1"/>
      <w:marLeft w:val="0"/>
      <w:marRight w:val="0"/>
      <w:marTop w:val="0"/>
      <w:marBottom w:val="0"/>
      <w:divBdr>
        <w:top w:val="none" w:sz="0" w:space="0" w:color="auto"/>
        <w:left w:val="none" w:sz="0" w:space="0" w:color="auto"/>
        <w:bottom w:val="none" w:sz="0" w:space="0" w:color="auto"/>
        <w:right w:val="none" w:sz="0" w:space="0" w:color="auto"/>
      </w:divBdr>
    </w:div>
    <w:div w:id="1741439840">
      <w:bodyDiv w:val="1"/>
      <w:marLeft w:val="0"/>
      <w:marRight w:val="0"/>
      <w:marTop w:val="0"/>
      <w:marBottom w:val="0"/>
      <w:divBdr>
        <w:top w:val="none" w:sz="0" w:space="0" w:color="auto"/>
        <w:left w:val="none" w:sz="0" w:space="0" w:color="auto"/>
        <w:bottom w:val="none" w:sz="0" w:space="0" w:color="auto"/>
        <w:right w:val="none" w:sz="0" w:space="0" w:color="auto"/>
      </w:divBdr>
    </w:div>
    <w:div w:id="1742019269">
      <w:bodyDiv w:val="1"/>
      <w:marLeft w:val="0"/>
      <w:marRight w:val="0"/>
      <w:marTop w:val="0"/>
      <w:marBottom w:val="0"/>
      <w:divBdr>
        <w:top w:val="none" w:sz="0" w:space="0" w:color="auto"/>
        <w:left w:val="none" w:sz="0" w:space="0" w:color="auto"/>
        <w:bottom w:val="none" w:sz="0" w:space="0" w:color="auto"/>
        <w:right w:val="none" w:sz="0" w:space="0" w:color="auto"/>
      </w:divBdr>
    </w:div>
    <w:div w:id="2060395036">
      <w:bodyDiv w:val="1"/>
      <w:marLeft w:val="0"/>
      <w:marRight w:val="0"/>
      <w:marTop w:val="0"/>
      <w:marBottom w:val="0"/>
      <w:divBdr>
        <w:top w:val="none" w:sz="0" w:space="0" w:color="auto"/>
        <w:left w:val="none" w:sz="0" w:space="0" w:color="auto"/>
        <w:bottom w:val="none" w:sz="0" w:space="0" w:color="auto"/>
        <w:right w:val="none" w:sz="0" w:space="0" w:color="auto"/>
      </w:divBdr>
    </w:div>
    <w:div w:id="212233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Analysis of the LGBF 2017/18 data with commentary from Heads of Service</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272EC6C4128341B371E223B2D1745C" ma:contentTypeVersion="0" ma:contentTypeDescription="Create a new document." ma:contentTypeScope="" ma:versionID="f6195adfa04a55eef921490ba576ff01">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FB13A3-7719-45AC-AD20-EE8D2304FE82}">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BBAE6D5-B3EA-4C88-AA21-844D6C2C8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E378A14-2A86-4494-853D-55A52642436C}">
  <ds:schemaRefs>
    <ds:schemaRef ds:uri="http://schemas.microsoft.com/sharepoint/v3/contenttype/forms"/>
  </ds:schemaRefs>
</ds:datastoreItem>
</file>

<file path=customXml/itemProps5.xml><?xml version="1.0" encoding="utf-8"?>
<ds:datastoreItem xmlns:ds="http://schemas.openxmlformats.org/officeDocument/2006/customXml" ds:itemID="{772B9352-FB9C-4406-8A0E-7FCF33894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11063</Words>
  <Characters>63065</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Local Government Benchmarking Framework (LGBF) 2018/19</vt:lpstr>
    </vt:vector>
  </TitlesOfParts>
  <Company/>
  <LinksUpToDate>false</LinksUpToDate>
  <CharactersWithSpaces>73981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Benchmarking Framework (LGBF) 2018/19</dc:title>
  <dc:subject>TELLING OUR STORY and LOOKING FORWARD - EXPECTED IMPACT ON INDICATOR</dc:subject>
  <dc:creator>Thomas, Sonya</dc:creator>
  <cp:keywords/>
  <dc:description/>
  <cp:lastModifiedBy>Carr, Chris</cp:lastModifiedBy>
  <cp:revision>3</cp:revision>
  <cp:lastPrinted>2019-12-20T11:56:00Z</cp:lastPrinted>
  <dcterms:created xsi:type="dcterms:W3CDTF">2020-11-20T09:45:00Z</dcterms:created>
  <dcterms:modified xsi:type="dcterms:W3CDTF">2020-11-23T12:21:00Z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0x0101005B272EC6C4128341B371E223B2D1745C</vt:lpwstr>
  </property>
</Properties>
</file>