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675" w:rsidRPr="00164675" w:rsidRDefault="0034768E" w:rsidP="00174F8B">
      <w:pPr>
        <w:jc w:val="both"/>
        <w:rPr>
          <w:rFonts w:ascii="Arial" w:hAnsi="Arial" w:cs="Arial"/>
          <w:sz w:val="24"/>
          <w:szCs w:val="24"/>
        </w:rPr>
      </w:pPr>
      <w:r>
        <w:rPr>
          <w:rFonts w:ascii="Arial" w:hAnsi="Arial" w:cs="Arial"/>
          <w:b/>
          <w:noProof/>
          <w:color w:val="0070C0"/>
          <w:lang w:eastAsia="en-GB"/>
        </w:rPr>
        <w:drawing>
          <wp:anchor distT="0" distB="0" distL="114300" distR="114300" simplePos="0" relativeHeight="251662336" behindDoc="0" locked="0" layoutInCell="1" allowOverlap="1">
            <wp:simplePos x="0" y="0"/>
            <wp:positionH relativeFrom="margin">
              <wp:align>center</wp:align>
            </wp:positionH>
            <wp:positionV relativeFrom="paragraph">
              <wp:posOffset>160020</wp:posOffset>
            </wp:positionV>
            <wp:extent cx="4813300" cy="1282700"/>
            <wp:effectExtent l="0" t="0" r="6350" b="0"/>
            <wp:wrapThrough wrapText="bothSides">
              <wp:wrapPolygon edited="0">
                <wp:start x="3761" y="0"/>
                <wp:lineTo x="2308" y="0"/>
                <wp:lineTo x="1710" y="1604"/>
                <wp:lineTo x="1710" y="5133"/>
                <wp:lineTo x="85" y="8020"/>
                <wp:lineTo x="0" y="8341"/>
                <wp:lineTo x="0" y="16681"/>
                <wp:lineTo x="427" y="20531"/>
                <wp:lineTo x="1710" y="21172"/>
                <wp:lineTo x="20346" y="21172"/>
                <wp:lineTo x="21543" y="16681"/>
                <wp:lineTo x="21201" y="16360"/>
                <wp:lineTo x="17183" y="14756"/>
                <wp:lineTo x="17354" y="10265"/>
                <wp:lineTo x="21543" y="7378"/>
                <wp:lineTo x="21543" y="1283"/>
                <wp:lineTo x="17183" y="0"/>
                <wp:lineTo x="4360" y="0"/>
                <wp:lineTo x="3761" y="0"/>
              </wp:wrapPolygon>
            </wp:wrapThrough>
            <wp:docPr id="16" name="Picture 5" descr="V:\HSCP\Branding\Fina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HSCP\Branding\Final Logo Colour.png"/>
                    <pic:cNvPicPr>
                      <a:picLocks noChangeAspect="1" noChangeArrowheads="1"/>
                    </pic:cNvPicPr>
                  </pic:nvPicPr>
                  <pic:blipFill>
                    <a:blip r:embed="rId8" cstate="print"/>
                    <a:srcRect/>
                    <a:stretch>
                      <a:fillRect/>
                    </a:stretch>
                  </pic:blipFill>
                  <pic:spPr bwMode="auto">
                    <a:xfrm>
                      <a:off x="0" y="0"/>
                      <a:ext cx="4813300" cy="1282700"/>
                    </a:xfrm>
                    <a:prstGeom prst="rect">
                      <a:avLst/>
                    </a:prstGeom>
                    <a:noFill/>
                    <a:ln w="9525">
                      <a:noFill/>
                      <a:miter lim="800000"/>
                      <a:headEnd/>
                      <a:tailEnd/>
                    </a:ln>
                  </pic:spPr>
                </pic:pic>
              </a:graphicData>
            </a:graphic>
          </wp:anchor>
        </w:drawing>
      </w: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097733" w:rsidRPr="00174F8B" w:rsidRDefault="00097733"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174F8B">
      <w:pPr>
        <w:jc w:val="both"/>
        <w:rPr>
          <w:rFonts w:ascii="Arial" w:hAnsi="Arial" w:cs="Arial"/>
          <w:b/>
        </w:rPr>
      </w:pPr>
    </w:p>
    <w:p w:rsidR="00174F8B" w:rsidRPr="00174F8B" w:rsidRDefault="00174F8B" w:rsidP="00B62FC1">
      <w:pPr>
        <w:jc w:val="center"/>
        <w:rPr>
          <w:rFonts w:ascii="Arial" w:hAnsi="Arial" w:cs="Arial"/>
          <w:b/>
        </w:rPr>
      </w:pPr>
    </w:p>
    <w:p w:rsidR="00B62FC1" w:rsidRPr="00174F8B" w:rsidRDefault="0034768E" w:rsidP="00B62FC1">
      <w:pPr>
        <w:jc w:val="center"/>
        <w:rPr>
          <w:rFonts w:ascii="Arial" w:hAnsi="Arial" w:cs="Arial"/>
          <w:b/>
          <w:color w:val="0070C0"/>
          <w:sz w:val="32"/>
          <w:szCs w:val="32"/>
        </w:rPr>
      </w:pPr>
      <w:r w:rsidRPr="00174F8B">
        <w:rPr>
          <w:rFonts w:ascii="Arial" w:hAnsi="Arial" w:cs="Arial"/>
          <w:b/>
          <w:color w:val="0070C0"/>
          <w:sz w:val="32"/>
          <w:szCs w:val="32"/>
        </w:rPr>
        <w:t>Equality</w:t>
      </w:r>
      <w:r w:rsidR="00C61BB4" w:rsidRPr="00174F8B">
        <w:rPr>
          <w:rFonts w:ascii="Arial" w:hAnsi="Arial" w:cs="Arial"/>
          <w:b/>
          <w:color w:val="0070C0"/>
          <w:sz w:val="32"/>
          <w:szCs w:val="32"/>
        </w:rPr>
        <w:t xml:space="preserve"> </w:t>
      </w:r>
      <w:r w:rsidR="00B62FC1" w:rsidRPr="00174F8B">
        <w:rPr>
          <w:rFonts w:ascii="Arial" w:hAnsi="Arial" w:cs="Arial"/>
          <w:b/>
          <w:color w:val="0070C0"/>
          <w:sz w:val="32"/>
          <w:szCs w:val="32"/>
        </w:rPr>
        <w:t>Impact Assessment</w:t>
      </w:r>
    </w:p>
    <w:p w:rsidR="00B62FC1" w:rsidRPr="00174F8B" w:rsidRDefault="00B62FC1" w:rsidP="00B62FC1">
      <w:pPr>
        <w:jc w:val="center"/>
        <w:rPr>
          <w:rFonts w:ascii="Arial" w:hAnsi="Arial" w:cs="Arial"/>
          <w:b/>
          <w:color w:val="0070C0"/>
          <w:sz w:val="32"/>
          <w:szCs w:val="32"/>
        </w:rPr>
      </w:pPr>
    </w:p>
    <w:p w:rsidR="00B62FC1" w:rsidRDefault="00B62FC1" w:rsidP="00B62FC1">
      <w:pPr>
        <w:jc w:val="center"/>
        <w:rPr>
          <w:rFonts w:ascii="Arial" w:hAnsi="Arial" w:cs="Arial"/>
          <w:b/>
          <w:color w:val="0070C0"/>
        </w:rPr>
      </w:pPr>
      <w:r w:rsidRPr="00B62FC1">
        <w:rPr>
          <w:rFonts w:ascii="Arial" w:hAnsi="Arial" w:cs="Arial"/>
          <w:b/>
          <w:color w:val="0070C0"/>
        </w:rPr>
        <w:t>Section 1: About the proposal</w:t>
      </w:r>
    </w:p>
    <w:p w:rsidR="00CB79BC" w:rsidRPr="00B62FC1" w:rsidRDefault="00CB79BC" w:rsidP="00B62FC1">
      <w:pPr>
        <w:jc w:val="center"/>
        <w:rPr>
          <w:rFonts w:ascii="Arial" w:hAnsi="Arial" w:cs="Arial"/>
          <w:b/>
          <w:color w:val="0070C0"/>
        </w:rPr>
      </w:pPr>
    </w:p>
    <w:tbl>
      <w:tblPr>
        <w:tblStyle w:val="TableGrid"/>
        <w:tblW w:w="9493" w:type="dxa"/>
        <w:tblLook w:val="04A0" w:firstRow="1" w:lastRow="0" w:firstColumn="1" w:lastColumn="0" w:noHBand="0" w:noVBand="1"/>
      </w:tblPr>
      <w:tblGrid>
        <w:gridCol w:w="9493"/>
      </w:tblGrid>
      <w:tr w:rsidR="00B62FC1" w:rsidRPr="00675C29" w:rsidTr="00C158B2">
        <w:tc>
          <w:tcPr>
            <w:tcW w:w="9493" w:type="dxa"/>
          </w:tcPr>
          <w:p w:rsidR="00B62FC1" w:rsidRPr="00675C29" w:rsidRDefault="00B62FC1" w:rsidP="006D5698">
            <w:pPr>
              <w:rPr>
                <w:rFonts w:ascii="Arial" w:hAnsi="Arial" w:cs="Arial"/>
                <w:b/>
              </w:rPr>
            </w:pPr>
            <w:r w:rsidRPr="00675C29">
              <w:rPr>
                <w:rFonts w:ascii="Arial" w:hAnsi="Arial" w:cs="Arial"/>
                <w:b/>
              </w:rPr>
              <w:t>Title of Proposal</w:t>
            </w:r>
          </w:p>
        </w:tc>
      </w:tr>
      <w:tr w:rsidR="00B62FC1" w:rsidRPr="00675C29" w:rsidTr="00C158B2">
        <w:tc>
          <w:tcPr>
            <w:tcW w:w="9493" w:type="dxa"/>
          </w:tcPr>
          <w:p w:rsidR="00B62FC1" w:rsidRDefault="00FA4236" w:rsidP="00174F8B">
            <w:pPr>
              <w:rPr>
                <w:rFonts w:ascii="Arial" w:hAnsi="Arial" w:cs="Arial"/>
              </w:rPr>
            </w:pPr>
            <w:r>
              <w:rPr>
                <w:rFonts w:ascii="Arial" w:hAnsi="Arial" w:cs="Arial"/>
              </w:rPr>
              <w:t>Formalising the escort criteria for patients travelling to mainland hospitals.</w:t>
            </w:r>
            <w:r w:rsidR="00D95866">
              <w:rPr>
                <w:rFonts w:ascii="Arial" w:hAnsi="Arial" w:cs="Arial"/>
              </w:rPr>
              <w:t xml:space="preserve"> (Islay &amp; Jura)</w:t>
            </w:r>
          </w:p>
          <w:p w:rsidR="00174F8B" w:rsidRPr="00174F8B" w:rsidRDefault="00174F8B" w:rsidP="00174F8B">
            <w:pPr>
              <w:rPr>
                <w:rFonts w:ascii="Arial" w:hAnsi="Arial" w:cs="Arial"/>
              </w:rPr>
            </w:pPr>
          </w:p>
        </w:tc>
      </w:tr>
    </w:tbl>
    <w:p w:rsidR="00B62FC1" w:rsidRPr="00675C29" w:rsidRDefault="00B62FC1" w:rsidP="00B62FC1">
      <w:pPr>
        <w:rPr>
          <w:rFonts w:ascii="Arial" w:hAnsi="Arial" w:cs="Arial"/>
          <w:b/>
        </w:rPr>
      </w:pPr>
    </w:p>
    <w:tbl>
      <w:tblPr>
        <w:tblStyle w:val="TableGrid"/>
        <w:tblW w:w="9493" w:type="dxa"/>
        <w:tblLook w:val="04A0" w:firstRow="1" w:lastRow="0" w:firstColumn="1" w:lastColumn="0" w:noHBand="0" w:noVBand="1"/>
      </w:tblPr>
      <w:tblGrid>
        <w:gridCol w:w="9493"/>
      </w:tblGrid>
      <w:tr w:rsidR="00B62FC1" w:rsidRPr="00675C29" w:rsidTr="00C158B2">
        <w:tc>
          <w:tcPr>
            <w:tcW w:w="9493" w:type="dxa"/>
          </w:tcPr>
          <w:p w:rsidR="00B62FC1" w:rsidRPr="00675C29" w:rsidRDefault="00B62FC1" w:rsidP="006D5698">
            <w:pPr>
              <w:rPr>
                <w:rFonts w:ascii="Arial" w:hAnsi="Arial" w:cs="Arial"/>
                <w:b/>
              </w:rPr>
            </w:pPr>
            <w:r w:rsidRPr="00675C29">
              <w:rPr>
                <w:rFonts w:ascii="Arial" w:hAnsi="Arial" w:cs="Arial"/>
                <w:b/>
              </w:rPr>
              <w:t>Intended outcome of proposal</w:t>
            </w:r>
          </w:p>
        </w:tc>
      </w:tr>
      <w:tr w:rsidR="00B62FC1" w:rsidRPr="006A1C33" w:rsidTr="00C158B2">
        <w:tc>
          <w:tcPr>
            <w:tcW w:w="9493" w:type="dxa"/>
          </w:tcPr>
          <w:p w:rsidR="00B62FC1" w:rsidRPr="0073605E" w:rsidRDefault="00D95866" w:rsidP="00174F8B">
            <w:pPr>
              <w:rPr>
                <w:rFonts w:ascii="Arial" w:hAnsi="Arial" w:cs="Arial"/>
              </w:rPr>
            </w:pPr>
            <w:r w:rsidRPr="0073605E">
              <w:rPr>
                <w:rFonts w:ascii="Arial" w:eastAsia="Times New Roman" w:hAnsi="Arial" w:cs="Arial"/>
                <w:color w:val="000000"/>
                <w:lang w:eastAsia="en-GB"/>
              </w:rPr>
              <w:t>To introduce</w:t>
            </w:r>
            <w:r w:rsidR="006C5BE4" w:rsidRPr="0073605E">
              <w:rPr>
                <w:rFonts w:ascii="Arial" w:eastAsia="Times New Roman" w:hAnsi="Arial" w:cs="Arial"/>
                <w:color w:val="000000"/>
                <w:lang w:eastAsia="en-GB"/>
              </w:rPr>
              <w:t xml:space="preserve"> formal criteria for patient</w:t>
            </w:r>
            <w:r w:rsidR="00A617C0" w:rsidRPr="0073605E">
              <w:rPr>
                <w:rFonts w:ascii="Arial" w:eastAsia="Times New Roman" w:hAnsi="Arial" w:cs="Arial"/>
                <w:color w:val="000000"/>
                <w:lang w:eastAsia="en-GB"/>
              </w:rPr>
              <w:t>s requesting an escort</w:t>
            </w:r>
            <w:r w:rsidR="006C5BE4" w:rsidRPr="0073605E">
              <w:rPr>
                <w:rFonts w:ascii="Arial" w:eastAsia="Times New Roman" w:hAnsi="Arial" w:cs="Arial"/>
                <w:color w:val="000000"/>
                <w:lang w:eastAsia="en-GB"/>
              </w:rPr>
              <w:t xml:space="preserve"> to secondary care appointments – ensuring </w:t>
            </w:r>
            <w:r w:rsidR="00A617C0" w:rsidRPr="0073605E">
              <w:rPr>
                <w:rFonts w:ascii="Arial" w:eastAsia="Times New Roman" w:hAnsi="Arial" w:cs="Arial"/>
                <w:color w:val="000000"/>
                <w:lang w:eastAsia="en-GB"/>
              </w:rPr>
              <w:t xml:space="preserve">the HSCP </w:t>
            </w:r>
            <w:r w:rsidR="006C5BE4" w:rsidRPr="0073605E">
              <w:rPr>
                <w:rFonts w:ascii="Arial" w:eastAsia="Times New Roman" w:hAnsi="Arial" w:cs="Arial"/>
                <w:color w:val="000000"/>
                <w:lang w:eastAsia="en-GB"/>
              </w:rPr>
              <w:t>only</w:t>
            </w:r>
            <w:r w:rsidRPr="0073605E">
              <w:rPr>
                <w:rFonts w:ascii="Arial" w:eastAsia="Times New Roman" w:hAnsi="Arial" w:cs="Arial"/>
                <w:color w:val="000000"/>
                <w:lang w:eastAsia="en-GB"/>
              </w:rPr>
              <w:t xml:space="preserve"> funds the travel costs of an escort when this is necessary.</w:t>
            </w:r>
          </w:p>
          <w:p w:rsidR="00174F8B" w:rsidRPr="00174F8B" w:rsidRDefault="00174F8B" w:rsidP="00174F8B">
            <w:pPr>
              <w:rPr>
                <w:rFonts w:ascii="Arial" w:hAnsi="Arial" w:cs="Arial"/>
              </w:rPr>
            </w:pPr>
          </w:p>
        </w:tc>
      </w:tr>
    </w:tbl>
    <w:p w:rsidR="00B62FC1" w:rsidRPr="006A1C33" w:rsidRDefault="00B62FC1" w:rsidP="00B62FC1">
      <w:pPr>
        <w:rPr>
          <w:rFonts w:ascii="Arial" w:hAnsi="Arial" w:cs="Arial"/>
          <w:b/>
        </w:rPr>
      </w:pPr>
    </w:p>
    <w:tbl>
      <w:tblPr>
        <w:tblStyle w:val="TableGrid"/>
        <w:tblW w:w="9493" w:type="dxa"/>
        <w:tblLook w:val="04A0" w:firstRow="1" w:lastRow="0" w:firstColumn="1" w:lastColumn="0" w:noHBand="0" w:noVBand="1"/>
      </w:tblPr>
      <w:tblGrid>
        <w:gridCol w:w="9493"/>
      </w:tblGrid>
      <w:tr w:rsidR="00B62FC1" w:rsidRPr="00675C29" w:rsidTr="00C158B2">
        <w:tc>
          <w:tcPr>
            <w:tcW w:w="9493" w:type="dxa"/>
          </w:tcPr>
          <w:p w:rsidR="00B62FC1" w:rsidRPr="00675C29" w:rsidRDefault="00B62FC1" w:rsidP="006D5698">
            <w:pPr>
              <w:rPr>
                <w:rFonts w:ascii="Arial" w:hAnsi="Arial" w:cs="Arial"/>
                <w:b/>
              </w:rPr>
            </w:pPr>
            <w:r>
              <w:rPr>
                <w:rFonts w:ascii="Arial" w:hAnsi="Arial" w:cs="Arial"/>
                <w:b/>
              </w:rPr>
              <w:t>Description of proposal</w:t>
            </w:r>
          </w:p>
        </w:tc>
      </w:tr>
      <w:tr w:rsidR="00B62FC1" w:rsidRPr="006A1C33" w:rsidTr="00C158B2">
        <w:tc>
          <w:tcPr>
            <w:tcW w:w="9493" w:type="dxa"/>
          </w:tcPr>
          <w:p w:rsidR="00A617C0" w:rsidRDefault="00A617C0" w:rsidP="00A617C0">
            <w:pPr>
              <w:pStyle w:val="ListParagraph"/>
              <w:numPr>
                <w:ilvl w:val="0"/>
                <w:numId w:val="27"/>
              </w:numPr>
              <w:rPr>
                <w:rFonts w:ascii="Arial" w:hAnsi="Arial" w:cs="Arial"/>
              </w:rPr>
            </w:pPr>
            <w:r w:rsidRPr="00A617C0">
              <w:rPr>
                <w:rFonts w:ascii="Arial" w:hAnsi="Arial" w:cs="Arial"/>
              </w:rPr>
              <w:t xml:space="preserve">Implementing clear and concise criteria for escorts accompanying patients to mainland hospitals.  </w:t>
            </w:r>
          </w:p>
          <w:p w:rsidR="00A617C0" w:rsidRDefault="00A617C0" w:rsidP="00A617C0">
            <w:pPr>
              <w:pStyle w:val="ListParagraph"/>
              <w:numPr>
                <w:ilvl w:val="0"/>
                <w:numId w:val="27"/>
              </w:numPr>
              <w:rPr>
                <w:rFonts w:ascii="Arial" w:hAnsi="Arial" w:cs="Arial"/>
              </w:rPr>
            </w:pPr>
            <w:r w:rsidRPr="00A617C0">
              <w:rPr>
                <w:rFonts w:ascii="Arial" w:hAnsi="Arial" w:cs="Arial"/>
              </w:rPr>
              <w:t>Reducing/eliminating current inequalities, due</w:t>
            </w:r>
            <w:r w:rsidR="0073605E">
              <w:rPr>
                <w:rFonts w:ascii="Arial" w:hAnsi="Arial" w:cs="Arial"/>
              </w:rPr>
              <w:t xml:space="preserve"> currently</w:t>
            </w:r>
            <w:r w:rsidRPr="00A617C0">
              <w:rPr>
                <w:rFonts w:ascii="Arial" w:hAnsi="Arial" w:cs="Arial"/>
              </w:rPr>
              <w:t xml:space="preserve"> to the subjective interpretation of when an escort is required.  </w:t>
            </w:r>
          </w:p>
          <w:p w:rsidR="00174F8B" w:rsidRPr="00A617C0" w:rsidRDefault="00A617C0" w:rsidP="00A617C0">
            <w:pPr>
              <w:pStyle w:val="ListParagraph"/>
              <w:numPr>
                <w:ilvl w:val="0"/>
                <w:numId w:val="27"/>
              </w:numPr>
              <w:rPr>
                <w:rFonts w:ascii="Arial" w:hAnsi="Arial" w:cs="Arial"/>
              </w:rPr>
            </w:pPr>
            <w:r w:rsidRPr="00A617C0">
              <w:rPr>
                <w:rFonts w:ascii="Arial" w:hAnsi="Arial" w:cs="Arial"/>
              </w:rPr>
              <w:t>Reducing any delay in booking travel for an escort, when need is not clear – currently GPs are asked to confirm if an escort is needed or not on medical grounds.</w:t>
            </w:r>
          </w:p>
        </w:tc>
      </w:tr>
    </w:tbl>
    <w:p w:rsidR="00B62FC1" w:rsidRPr="006A1C33" w:rsidRDefault="00B62FC1" w:rsidP="00B62FC1">
      <w:pPr>
        <w:rPr>
          <w:rFonts w:ascii="Arial" w:hAnsi="Arial" w:cs="Arial"/>
          <w:b/>
        </w:rPr>
      </w:pPr>
    </w:p>
    <w:tbl>
      <w:tblPr>
        <w:tblStyle w:val="TableGrid"/>
        <w:tblW w:w="9493" w:type="dxa"/>
        <w:tblLook w:val="04A0" w:firstRow="1" w:lastRow="0" w:firstColumn="1" w:lastColumn="0" w:noHBand="0" w:noVBand="1"/>
      </w:tblPr>
      <w:tblGrid>
        <w:gridCol w:w="9493"/>
      </w:tblGrid>
      <w:tr w:rsidR="00B62FC1" w:rsidRPr="00675C29" w:rsidTr="00C158B2">
        <w:tc>
          <w:tcPr>
            <w:tcW w:w="9493" w:type="dxa"/>
          </w:tcPr>
          <w:p w:rsidR="00B62FC1" w:rsidRPr="00675C29" w:rsidRDefault="00A21E3D" w:rsidP="006D5698">
            <w:pPr>
              <w:rPr>
                <w:rFonts w:ascii="Arial" w:hAnsi="Arial" w:cs="Arial"/>
                <w:b/>
              </w:rPr>
            </w:pPr>
            <w:r>
              <w:rPr>
                <w:rFonts w:ascii="Arial" w:hAnsi="Arial" w:cs="Arial"/>
                <w:b/>
              </w:rPr>
              <w:t>HSCP Strategic Priorities</w:t>
            </w:r>
            <w:r w:rsidRPr="00675C29">
              <w:rPr>
                <w:rFonts w:ascii="Arial" w:hAnsi="Arial" w:cs="Arial"/>
                <w:b/>
              </w:rPr>
              <w:t xml:space="preserve"> </w:t>
            </w:r>
            <w:r>
              <w:rPr>
                <w:rFonts w:ascii="Arial" w:hAnsi="Arial" w:cs="Arial"/>
                <w:b/>
              </w:rPr>
              <w:t xml:space="preserve">to which </w:t>
            </w:r>
            <w:r w:rsidRPr="00675C29">
              <w:rPr>
                <w:rFonts w:ascii="Arial" w:hAnsi="Arial" w:cs="Arial"/>
                <w:b/>
              </w:rPr>
              <w:t>the proposal contribute</w:t>
            </w:r>
            <w:r>
              <w:rPr>
                <w:rFonts w:ascii="Arial" w:hAnsi="Arial" w:cs="Arial"/>
                <w:b/>
              </w:rPr>
              <w:t>s</w:t>
            </w:r>
          </w:p>
        </w:tc>
      </w:tr>
      <w:tr w:rsidR="00B62FC1" w:rsidRPr="00675C29" w:rsidTr="00C158B2">
        <w:tc>
          <w:tcPr>
            <w:tcW w:w="9493" w:type="dxa"/>
          </w:tcPr>
          <w:p w:rsidR="00B62FC1" w:rsidRPr="00A617C0" w:rsidRDefault="00A617C0" w:rsidP="00A617C0">
            <w:pPr>
              <w:pStyle w:val="ListParagraph"/>
              <w:numPr>
                <w:ilvl w:val="0"/>
                <w:numId w:val="28"/>
              </w:numPr>
              <w:rPr>
                <w:rFonts w:ascii="Arial" w:hAnsi="Arial" w:cs="Arial"/>
              </w:rPr>
            </w:pPr>
            <w:r w:rsidRPr="00A617C0">
              <w:rPr>
                <w:rFonts w:ascii="Arial" w:hAnsi="Arial" w:cs="Arial"/>
              </w:rPr>
              <w:t>Support unpaid carers, to reduce the impact of their caring role on their own health and wellbeing</w:t>
            </w:r>
          </w:p>
          <w:p w:rsidR="00A617C0" w:rsidRPr="00A617C0" w:rsidRDefault="00A617C0" w:rsidP="00A617C0">
            <w:pPr>
              <w:pStyle w:val="ListParagraph"/>
              <w:numPr>
                <w:ilvl w:val="0"/>
                <w:numId w:val="28"/>
              </w:numPr>
              <w:rPr>
                <w:rFonts w:ascii="Arial" w:hAnsi="Arial" w:cs="Arial"/>
                <w:b/>
              </w:rPr>
            </w:pPr>
            <w:r w:rsidRPr="00A617C0">
              <w:rPr>
                <w:rFonts w:ascii="Arial" w:hAnsi="Arial" w:cs="Arial"/>
              </w:rPr>
              <w:t>Efficiently and effectively manage all resources to deliver Best Value</w:t>
            </w:r>
          </w:p>
          <w:p w:rsidR="00B62FC1" w:rsidRPr="00675C29" w:rsidRDefault="00B62FC1" w:rsidP="006D5698">
            <w:pPr>
              <w:rPr>
                <w:rFonts w:ascii="Arial" w:hAnsi="Arial" w:cs="Arial"/>
                <w:b/>
              </w:rPr>
            </w:pPr>
          </w:p>
        </w:tc>
      </w:tr>
    </w:tbl>
    <w:p w:rsidR="00B62FC1" w:rsidRPr="00675C29" w:rsidRDefault="00B62FC1" w:rsidP="00B62FC1">
      <w:pPr>
        <w:rPr>
          <w:rFonts w:ascii="Arial" w:hAnsi="Arial" w:cs="Arial"/>
          <w:b/>
        </w:rPr>
      </w:pPr>
    </w:p>
    <w:tbl>
      <w:tblPr>
        <w:tblStyle w:val="TableGrid"/>
        <w:tblW w:w="9493" w:type="dxa"/>
        <w:tblLook w:val="04A0" w:firstRow="1" w:lastRow="0" w:firstColumn="1" w:lastColumn="0" w:noHBand="0" w:noVBand="1"/>
      </w:tblPr>
      <w:tblGrid>
        <w:gridCol w:w="4508"/>
        <w:gridCol w:w="4985"/>
      </w:tblGrid>
      <w:tr w:rsidR="00B62FC1" w:rsidRPr="00675C29" w:rsidTr="00C158B2">
        <w:tc>
          <w:tcPr>
            <w:tcW w:w="9493" w:type="dxa"/>
            <w:gridSpan w:val="2"/>
          </w:tcPr>
          <w:p w:rsidR="00A477ED" w:rsidRPr="00174F8B" w:rsidRDefault="00DB5C72" w:rsidP="00A81748">
            <w:pPr>
              <w:rPr>
                <w:rFonts w:ascii="Arial" w:hAnsi="Arial" w:cs="Arial"/>
                <w:bCs/>
              </w:rPr>
            </w:pPr>
            <w:r>
              <w:rPr>
                <w:rFonts w:ascii="Arial" w:hAnsi="Arial" w:cs="Arial"/>
                <w:b/>
                <w:bCs/>
              </w:rPr>
              <w:t xml:space="preserve">Lead officer </w:t>
            </w:r>
            <w:r w:rsidR="00174F8B">
              <w:rPr>
                <w:rFonts w:ascii="Arial" w:hAnsi="Arial" w:cs="Arial"/>
                <w:b/>
                <w:bCs/>
              </w:rPr>
              <w:t>details</w:t>
            </w:r>
          </w:p>
        </w:tc>
      </w:tr>
      <w:tr w:rsidR="00B62FC1" w:rsidRPr="00675C29" w:rsidTr="00C158B2">
        <w:trPr>
          <w:trHeight w:val="139"/>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Name of lead officer</w:t>
            </w:r>
          </w:p>
        </w:tc>
        <w:tc>
          <w:tcPr>
            <w:tcW w:w="4985" w:type="dxa"/>
          </w:tcPr>
          <w:p w:rsidR="00B62FC1" w:rsidRPr="00675C29" w:rsidRDefault="007A2B97" w:rsidP="006D5698">
            <w:pPr>
              <w:rPr>
                <w:rFonts w:ascii="Arial" w:hAnsi="Arial" w:cs="Arial"/>
                <w:b/>
                <w:bCs/>
              </w:rPr>
            </w:pPr>
            <w:r>
              <w:rPr>
                <w:rFonts w:ascii="Arial" w:hAnsi="Arial" w:cs="Arial"/>
                <w:b/>
                <w:bCs/>
              </w:rPr>
              <w:t>Caroline Cherry</w:t>
            </w:r>
          </w:p>
        </w:tc>
      </w:tr>
      <w:tr w:rsidR="00B62FC1" w:rsidRPr="00675C29" w:rsidTr="00C158B2">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Job title</w:t>
            </w:r>
          </w:p>
        </w:tc>
        <w:tc>
          <w:tcPr>
            <w:tcW w:w="4985" w:type="dxa"/>
          </w:tcPr>
          <w:p w:rsidR="00B62FC1" w:rsidRPr="00675C29" w:rsidRDefault="007A2B97" w:rsidP="006D5698">
            <w:pPr>
              <w:rPr>
                <w:rFonts w:ascii="Arial" w:hAnsi="Arial" w:cs="Arial"/>
                <w:b/>
                <w:bCs/>
              </w:rPr>
            </w:pPr>
            <w:r>
              <w:rPr>
                <w:rFonts w:ascii="Arial" w:hAnsi="Arial" w:cs="Arial"/>
                <w:b/>
                <w:bCs/>
              </w:rPr>
              <w:t>Head of Service</w:t>
            </w:r>
          </w:p>
        </w:tc>
      </w:tr>
      <w:tr w:rsidR="00B62FC1" w:rsidRPr="00675C29" w:rsidTr="00C158B2">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Department</w:t>
            </w:r>
          </w:p>
        </w:tc>
        <w:tc>
          <w:tcPr>
            <w:tcW w:w="4985" w:type="dxa"/>
          </w:tcPr>
          <w:p w:rsidR="00B62FC1" w:rsidRPr="00675C29" w:rsidRDefault="0073605E" w:rsidP="006D5698">
            <w:pPr>
              <w:rPr>
                <w:rFonts w:ascii="Arial" w:hAnsi="Arial" w:cs="Arial"/>
                <w:b/>
                <w:bCs/>
              </w:rPr>
            </w:pPr>
            <w:r>
              <w:rPr>
                <w:rFonts w:ascii="Arial" w:hAnsi="Arial" w:cs="Arial"/>
                <w:b/>
                <w:bCs/>
              </w:rPr>
              <w:t>Older Adults and Community Hospitals</w:t>
            </w:r>
          </w:p>
        </w:tc>
      </w:tr>
      <w:tr w:rsidR="00DB5C72" w:rsidRPr="00675C29" w:rsidTr="00C158B2">
        <w:trPr>
          <w:trHeight w:val="45"/>
        </w:trPr>
        <w:tc>
          <w:tcPr>
            <w:tcW w:w="9493" w:type="dxa"/>
            <w:gridSpan w:val="2"/>
          </w:tcPr>
          <w:p w:rsidR="00174F8B" w:rsidRPr="00174F8B" w:rsidRDefault="00DB5C72" w:rsidP="00174F8B">
            <w:pPr>
              <w:rPr>
                <w:rFonts w:ascii="Arial" w:hAnsi="Arial" w:cs="Arial"/>
                <w:bCs/>
              </w:rPr>
            </w:pPr>
            <w:r w:rsidRPr="00DB5C72">
              <w:rPr>
                <w:rFonts w:ascii="Arial" w:hAnsi="Arial" w:cs="Arial"/>
                <w:b/>
                <w:bCs/>
              </w:rPr>
              <w:t>App</w:t>
            </w:r>
            <w:r w:rsidR="00174F8B">
              <w:rPr>
                <w:rFonts w:ascii="Arial" w:hAnsi="Arial" w:cs="Arial"/>
                <w:b/>
                <w:bCs/>
              </w:rPr>
              <w:t>ropriate officer details</w:t>
            </w:r>
          </w:p>
        </w:tc>
      </w:tr>
      <w:tr w:rsidR="00B62FC1" w:rsidRPr="00675C29" w:rsidTr="00C158B2">
        <w:trPr>
          <w:trHeight w:val="137"/>
        </w:trPr>
        <w:tc>
          <w:tcPr>
            <w:tcW w:w="4508" w:type="dxa"/>
          </w:tcPr>
          <w:p w:rsidR="00B62FC1" w:rsidRPr="00110158" w:rsidRDefault="00B62FC1" w:rsidP="006D5698">
            <w:pPr>
              <w:rPr>
                <w:rFonts w:ascii="Arial" w:eastAsia="Times New Roman" w:hAnsi="Arial" w:cs="Arial"/>
                <w:bCs/>
                <w:sz w:val="20"/>
                <w:szCs w:val="20"/>
                <w:lang w:val="en-US"/>
              </w:rPr>
            </w:pPr>
            <w:r w:rsidRPr="00110158">
              <w:rPr>
                <w:rFonts w:ascii="Arial" w:hAnsi="Arial" w:cs="Arial"/>
                <w:bCs/>
              </w:rPr>
              <w:t>Name of appropriate officer</w:t>
            </w:r>
          </w:p>
        </w:tc>
        <w:tc>
          <w:tcPr>
            <w:tcW w:w="4985" w:type="dxa"/>
          </w:tcPr>
          <w:p w:rsidR="00B62FC1" w:rsidRPr="00675C29" w:rsidRDefault="007A2B97" w:rsidP="006D5698">
            <w:pPr>
              <w:rPr>
                <w:rFonts w:ascii="Arial" w:hAnsi="Arial" w:cs="Arial"/>
                <w:b/>
                <w:bCs/>
              </w:rPr>
            </w:pPr>
            <w:r>
              <w:rPr>
                <w:rFonts w:ascii="Arial" w:hAnsi="Arial" w:cs="Arial"/>
                <w:b/>
                <w:bCs/>
              </w:rPr>
              <w:t>Alan Beresford</w:t>
            </w:r>
          </w:p>
        </w:tc>
      </w:tr>
      <w:tr w:rsidR="00B62FC1" w:rsidRPr="00675C29" w:rsidTr="00C158B2">
        <w:trPr>
          <w:trHeight w:val="137"/>
        </w:trPr>
        <w:tc>
          <w:tcPr>
            <w:tcW w:w="4508" w:type="dxa"/>
          </w:tcPr>
          <w:p w:rsidR="00B62FC1" w:rsidRPr="00110158" w:rsidRDefault="00B62FC1" w:rsidP="006D5698">
            <w:pPr>
              <w:rPr>
                <w:rFonts w:ascii="Arial" w:hAnsi="Arial" w:cs="Arial"/>
                <w:bCs/>
              </w:rPr>
            </w:pPr>
            <w:r w:rsidRPr="00110158">
              <w:rPr>
                <w:rFonts w:ascii="Arial" w:hAnsi="Arial" w:cs="Arial"/>
                <w:bCs/>
              </w:rPr>
              <w:t>Job title</w:t>
            </w:r>
          </w:p>
        </w:tc>
        <w:tc>
          <w:tcPr>
            <w:tcW w:w="4985" w:type="dxa"/>
          </w:tcPr>
          <w:p w:rsidR="00B62FC1" w:rsidRPr="00675C29" w:rsidRDefault="007A2B97" w:rsidP="006D5698">
            <w:pPr>
              <w:rPr>
                <w:rFonts w:ascii="Arial" w:hAnsi="Arial" w:cs="Arial"/>
                <w:b/>
                <w:bCs/>
              </w:rPr>
            </w:pPr>
            <w:r>
              <w:rPr>
                <w:rFonts w:ascii="Arial" w:hAnsi="Arial" w:cs="Arial"/>
                <w:b/>
                <w:bCs/>
              </w:rPr>
              <w:t>Interim Area Manager</w:t>
            </w:r>
          </w:p>
        </w:tc>
      </w:tr>
      <w:tr w:rsidR="00B62FC1" w:rsidRPr="00675C29" w:rsidTr="00CB79BC">
        <w:trPr>
          <w:trHeight w:val="137"/>
        </w:trPr>
        <w:tc>
          <w:tcPr>
            <w:tcW w:w="4508" w:type="dxa"/>
            <w:tcBorders>
              <w:bottom w:val="single" w:sz="4" w:space="0" w:color="auto"/>
            </w:tcBorders>
          </w:tcPr>
          <w:p w:rsidR="00B62FC1" w:rsidRPr="00110158" w:rsidRDefault="00B62FC1" w:rsidP="006D5698">
            <w:pPr>
              <w:rPr>
                <w:rFonts w:ascii="Arial" w:hAnsi="Arial" w:cs="Arial"/>
                <w:bCs/>
              </w:rPr>
            </w:pPr>
            <w:r w:rsidRPr="00110158">
              <w:rPr>
                <w:rFonts w:ascii="Arial" w:hAnsi="Arial" w:cs="Arial"/>
                <w:bCs/>
              </w:rPr>
              <w:t>Department</w:t>
            </w:r>
          </w:p>
        </w:tc>
        <w:tc>
          <w:tcPr>
            <w:tcW w:w="4985" w:type="dxa"/>
            <w:tcBorders>
              <w:bottom w:val="single" w:sz="4" w:space="0" w:color="auto"/>
            </w:tcBorders>
          </w:tcPr>
          <w:p w:rsidR="00B62FC1" w:rsidRPr="00675C29" w:rsidRDefault="007A2B97" w:rsidP="006D5698">
            <w:pPr>
              <w:rPr>
                <w:rFonts w:ascii="Arial" w:hAnsi="Arial" w:cs="Arial"/>
                <w:b/>
                <w:bCs/>
              </w:rPr>
            </w:pPr>
            <w:r>
              <w:rPr>
                <w:rFonts w:ascii="Arial" w:hAnsi="Arial" w:cs="Arial"/>
                <w:b/>
                <w:bCs/>
              </w:rPr>
              <w:t>Islay Hospital</w:t>
            </w:r>
          </w:p>
        </w:tc>
      </w:tr>
      <w:tr w:rsidR="00174F8B" w:rsidRPr="00675C29" w:rsidTr="00CB79BC">
        <w:trPr>
          <w:trHeight w:val="137"/>
        </w:trPr>
        <w:tc>
          <w:tcPr>
            <w:tcW w:w="9493" w:type="dxa"/>
            <w:gridSpan w:val="2"/>
            <w:tcBorders>
              <w:left w:val="nil"/>
              <w:bottom w:val="single" w:sz="4" w:space="0" w:color="auto"/>
              <w:right w:val="nil"/>
            </w:tcBorders>
          </w:tcPr>
          <w:p w:rsidR="00174F8B" w:rsidRPr="00675C29" w:rsidRDefault="00174F8B" w:rsidP="006D5698">
            <w:pPr>
              <w:rPr>
                <w:rFonts w:ascii="Arial" w:hAnsi="Arial" w:cs="Arial"/>
                <w:b/>
                <w:bCs/>
              </w:rPr>
            </w:pPr>
          </w:p>
        </w:tc>
      </w:tr>
      <w:tr w:rsidR="00B62FC1" w:rsidRPr="00675C29" w:rsidTr="00CB79BC">
        <w:trPr>
          <w:trHeight w:val="137"/>
        </w:trPr>
        <w:tc>
          <w:tcPr>
            <w:tcW w:w="4508" w:type="dxa"/>
            <w:tcBorders>
              <w:left w:val="single" w:sz="4" w:space="0" w:color="auto"/>
              <w:bottom w:val="single" w:sz="4" w:space="0" w:color="auto"/>
            </w:tcBorders>
          </w:tcPr>
          <w:p w:rsidR="00B62FC1" w:rsidRPr="00110158" w:rsidRDefault="00CB79BC" w:rsidP="006D5698">
            <w:pPr>
              <w:rPr>
                <w:rFonts w:ascii="Arial" w:hAnsi="Arial" w:cs="Arial"/>
                <w:bCs/>
              </w:rPr>
            </w:pPr>
            <w:r>
              <w:rPr>
                <w:rFonts w:ascii="Arial" w:hAnsi="Arial" w:cs="Arial"/>
                <w:bCs/>
              </w:rPr>
              <w:t>Sign-</w:t>
            </w:r>
            <w:r w:rsidR="0034768E">
              <w:rPr>
                <w:rFonts w:ascii="Arial" w:hAnsi="Arial" w:cs="Arial"/>
                <w:bCs/>
              </w:rPr>
              <w:t>off of E</w:t>
            </w:r>
            <w:r w:rsidR="00B62FC1" w:rsidRPr="00110158">
              <w:rPr>
                <w:rFonts w:ascii="Arial" w:hAnsi="Arial" w:cs="Arial"/>
                <w:bCs/>
              </w:rPr>
              <w:t>IA</w:t>
            </w:r>
          </w:p>
        </w:tc>
        <w:tc>
          <w:tcPr>
            <w:tcW w:w="4985" w:type="dxa"/>
          </w:tcPr>
          <w:p w:rsidR="00B62FC1" w:rsidRPr="0073605E" w:rsidRDefault="0073605E" w:rsidP="00A81748">
            <w:pPr>
              <w:rPr>
                <w:rFonts w:ascii="Arial" w:hAnsi="Arial" w:cs="Arial"/>
                <w:b/>
                <w:bCs/>
              </w:rPr>
            </w:pPr>
            <w:r w:rsidRPr="0073605E">
              <w:rPr>
                <w:rFonts w:ascii="Arial" w:hAnsi="Arial" w:cs="Arial"/>
                <w:b/>
                <w:bCs/>
              </w:rPr>
              <w:t>Caroline Cherry</w:t>
            </w:r>
          </w:p>
        </w:tc>
      </w:tr>
      <w:tr w:rsidR="00B62FC1" w:rsidRPr="00675C29" w:rsidTr="00CB79BC">
        <w:trPr>
          <w:trHeight w:val="137"/>
        </w:trPr>
        <w:tc>
          <w:tcPr>
            <w:tcW w:w="4508" w:type="dxa"/>
            <w:tcBorders>
              <w:top w:val="single" w:sz="4" w:space="0" w:color="auto"/>
              <w:left w:val="single" w:sz="4" w:space="0" w:color="auto"/>
              <w:bottom w:val="single" w:sz="4" w:space="0" w:color="auto"/>
            </w:tcBorders>
          </w:tcPr>
          <w:p w:rsidR="00B62FC1" w:rsidRPr="00110158" w:rsidRDefault="00CB79BC" w:rsidP="006D5698">
            <w:pPr>
              <w:rPr>
                <w:rFonts w:ascii="Arial" w:hAnsi="Arial" w:cs="Arial"/>
                <w:bCs/>
              </w:rPr>
            </w:pPr>
            <w:r>
              <w:rPr>
                <w:rFonts w:ascii="Arial" w:hAnsi="Arial" w:cs="Arial"/>
                <w:bCs/>
              </w:rPr>
              <w:t>Date of sign-</w:t>
            </w:r>
            <w:r w:rsidR="00B62FC1" w:rsidRPr="00110158">
              <w:rPr>
                <w:rFonts w:ascii="Arial" w:hAnsi="Arial" w:cs="Arial"/>
                <w:bCs/>
              </w:rPr>
              <w:t>off</w:t>
            </w:r>
          </w:p>
        </w:tc>
        <w:tc>
          <w:tcPr>
            <w:tcW w:w="4985" w:type="dxa"/>
          </w:tcPr>
          <w:p w:rsidR="00B62FC1" w:rsidRPr="00675C29" w:rsidRDefault="0073605E" w:rsidP="006D5698">
            <w:pPr>
              <w:rPr>
                <w:rFonts w:ascii="Arial" w:hAnsi="Arial" w:cs="Arial"/>
                <w:b/>
                <w:bCs/>
              </w:rPr>
            </w:pPr>
            <w:r>
              <w:rPr>
                <w:rFonts w:ascii="Arial" w:hAnsi="Arial" w:cs="Arial"/>
                <w:b/>
                <w:bCs/>
              </w:rPr>
              <w:t>3</w:t>
            </w:r>
            <w:r w:rsidRPr="0073605E">
              <w:rPr>
                <w:rFonts w:ascii="Arial" w:hAnsi="Arial" w:cs="Arial"/>
                <w:b/>
                <w:bCs/>
                <w:vertAlign w:val="superscript"/>
              </w:rPr>
              <w:t>rd</w:t>
            </w:r>
            <w:r>
              <w:rPr>
                <w:rFonts w:ascii="Arial" w:hAnsi="Arial" w:cs="Arial"/>
                <w:b/>
                <w:bCs/>
              </w:rPr>
              <w:t xml:space="preserve"> February 2021</w:t>
            </w:r>
          </w:p>
        </w:tc>
      </w:tr>
    </w:tbl>
    <w:p w:rsidR="00B62FC1" w:rsidRDefault="00B62FC1" w:rsidP="00B62FC1">
      <w:pPr>
        <w:rPr>
          <w:rFonts w:ascii="Arial" w:hAnsi="Arial" w:cs="Arial"/>
          <w:b/>
          <w:bCs/>
        </w:rPr>
      </w:pPr>
    </w:p>
    <w:tbl>
      <w:tblPr>
        <w:tblStyle w:val="TableGrid"/>
        <w:tblW w:w="9493" w:type="dxa"/>
        <w:tblLook w:val="04A0" w:firstRow="1" w:lastRow="0" w:firstColumn="1" w:lastColumn="0" w:noHBand="0" w:noVBand="1"/>
      </w:tblPr>
      <w:tblGrid>
        <w:gridCol w:w="9493"/>
      </w:tblGrid>
      <w:tr w:rsidR="00B62FC1" w:rsidRPr="00675C29" w:rsidTr="00C158B2">
        <w:tc>
          <w:tcPr>
            <w:tcW w:w="9493" w:type="dxa"/>
          </w:tcPr>
          <w:p w:rsidR="00B62FC1" w:rsidRPr="00675C29" w:rsidRDefault="00B62FC1" w:rsidP="006D5698">
            <w:pPr>
              <w:rPr>
                <w:rFonts w:ascii="Arial" w:hAnsi="Arial" w:cs="Arial"/>
                <w:b/>
              </w:rPr>
            </w:pPr>
            <w:r w:rsidRPr="00675C29">
              <w:rPr>
                <w:rFonts w:ascii="Arial" w:hAnsi="Arial" w:cs="Arial"/>
                <w:b/>
              </w:rPr>
              <w:t xml:space="preserve">Who will </w:t>
            </w:r>
            <w:r>
              <w:rPr>
                <w:rFonts w:ascii="Arial" w:hAnsi="Arial" w:cs="Arial"/>
                <w:b/>
              </w:rPr>
              <w:t>deliver the proposal</w:t>
            </w:r>
            <w:r w:rsidRPr="00675C29">
              <w:rPr>
                <w:rFonts w:ascii="Arial" w:hAnsi="Arial" w:cs="Arial"/>
                <w:b/>
              </w:rPr>
              <w:t>?</w:t>
            </w:r>
          </w:p>
        </w:tc>
      </w:tr>
      <w:tr w:rsidR="00B62FC1" w:rsidRPr="00675C29" w:rsidTr="00C158B2">
        <w:tc>
          <w:tcPr>
            <w:tcW w:w="9493" w:type="dxa"/>
          </w:tcPr>
          <w:p w:rsidR="00B62FC1" w:rsidRDefault="007A2B97" w:rsidP="00CB79BC">
            <w:pPr>
              <w:rPr>
                <w:rFonts w:ascii="Arial" w:hAnsi="Arial" w:cs="Arial"/>
              </w:rPr>
            </w:pPr>
            <w:r>
              <w:rPr>
                <w:rFonts w:ascii="Arial" w:hAnsi="Arial" w:cs="Arial"/>
              </w:rPr>
              <w:t>Islay Hospital Admin department</w:t>
            </w:r>
            <w:r w:rsidR="00A617C0">
              <w:rPr>
                <w:rFonts w:ascii="Arial" w:hAnsi="Arial" w:cs="Arial"/>
              </w:rPr>
              <w:t xml:space="preserve"> – there is no longer a dedicated patient transport department.</w:t>
            </w:r>
          </w:p>
          <w:p w:rsidR="00CB79BC" w:rsidRPr="00CB79BC" w:rsidRDefault="00CB79BC" w:rsidP="00CB79BC">
            <w:pPr>
              <w:rPr>
                <w:rFonts w:ascii="Arial" w:hAnsi="Arial" w:cs="Arial"/>
              </w:rPr>
            </w:pPr>
          </w:p>
        </w:tc>
      </w:tr>
    </w:tbl>
    <w:p w:rsidR="00B62FC1" w:rsidRPr="00675C29" w:rsidRDefault="00B62FC1" w:rsidP="00B62FC1">
      <w:pPr>
        <w:rPr>
          <w:rFonts w:ascii="Arial" w:hAnsi="Arial" w:cs="Arial"/>
          <w:b/>
          <w:bCs/>
        </w:rPr>
      </w:pPr>
    </w:p>
    <w:p w:rsidR="00A617C0" w:rsidRDefault="00A617C0">
      <w:pPr>
        <w:widowControl/>
        <w:spacing w:after="160" w:line="259" w:lineRule="auto"/>
        <w:rPr>
          <w:rFonts w:ascii="Arial" w:hAnsi="Arial" w:cs="Arial"/>
          <w:b/>
          <w:color w:val="0070C0"/>
        </w:rPr>
      </w:pPr>
      <w:r>
        <w:rPr>
          <w:rFonts w:ascii="Arial" w:hAnsi="Arial" w:cs="Arial"/>
          <w:b/>
          <w:color w:val="0070C0"/>
        </w:rPr>
        <w:br w:type="page"/>
      </w:r>
    </w:p>
    <w:p w:rsidR="00B62FC1" w:rsidRDefault="00B62FC1" w:rsidP="00B62FC1">
      <w:pPr>
        <w:jc w:val="center"/>
        <w:rPr>
          <w:rFonts w:ascii="Arial" w:hAnsi="Arial" w:cs="Arial"/>
          <w:b/>
          <w:color w:val="0070C0"/>
          <w:sz w:val="24"/>
          <w:szCs w:val="24"/>
        </w:rPr>
      </w:pPr>
      <w:r w:rsidRPr="00B62FC1">
        <w:rPr>
          <w:rFonts w:ascii="Arial" w:hAnsi="Arial" w:cs="Arial"/>
          <w:b/>
          <w:color w:val="0070C0"/>
        </w:rPr>
        <w:lastRenderedPageBreak/>
        <w:t xml:space="preserve">Section 2: Evidence used </w:t>
      </w:r>
      <w:r w:rsidR="00125EEC">
        <w:rPr>
          <w:rFonts w:ascii="Arial" w:hAnsi="Arial" w:cs="Arial"/>
          <w:b/>
          <w:color w:val="0070C0"/>
        </w:rPr>
        <w:t xml:space="preserve">in the course of carrying out </w:t>
      </w:r>
      <w:r w:rsidR="0034768E">
        <w:rPr>
          <w:rFonts w:ascii="Arial" w:hAnsi="Arial" w:cs="Arial"/>
          <w:b/>
          <w:color w:val="0070C0"/>
          <w:sz w:val="24"/>
          <w:szCs w:val="24"/>
        </w:rPr>
        <w:t>E</w:t>
      </w:r>
      <w:r w:rsidR="00A81748" w:rsidRPr="00A81748">
        <w:rPr>
          <w:rFonts w:ascii="Arial" w:hAnsi="Arial" w:cs="Arial"/>
          <w:b/>
          <w:color w:val="0070C0"/>
          <w:sz w:val="24"/>
          <w:szCs w:val="24"/>
        </w:rPr>
        <w:t>IA</w:t>
      </w:r>
    </w:p>
    <w:p w:rsidR="00CB79BC" w:rsidRPr="005D74E5" w:rsidRDefault="00CB79BC" w:rsidP="00B62FC1">
      <w:pPr>
        <w:jc w:val="center"/>
        <w:rPr>
          <w:rFonts w:ascii="Arial" w:hAnsi="Arial" w:cs="Arial"/>
          <w:b/>
          <w:color w:val="2F5496" w:themeColor="accent5" w:themeShade="BF"/>
        </w:rPr>
      </w:pPr>
    </w:p>
    <w:tbl>
      <w:tblPr>
        <w:tblStyle w:val="TableGrid"/>
        <w:tblW w:w="9493" w:type="dxa"/>
        <w:tblLook w:val="04A0" w:firstRow="1" w:lastRow="0" w:firstColumn="1" w:lastColumn="0" w:noHBand="0" w:noVBand="1"/>
      </w:tblPr>
      <w:tblGrid>
        <w:gridCol w:w="9493"/>
      </w:tblGrid>
      <w:tr w:rsidR="00B62FC1" w:rsidTr="00C158B2">
        <w:tc>
          <w:tcPr>
            <w:tcW w:w="9493" w:type="dxa"/>
          </w:tcPr>
          <w:p w:rsidR="00B62FC1" w:rsidRPr="00110158" w:rsidRDefault="00B62FC1" w:rsidP="006D5698">
            <w:pPr>
              <w:rPr>
                <w:rFonts w:ascii="Arial" w:hAnsi="Arial" w:cs="Arial"/>
                <w:b/>
              </w:rPr>
            </w:pPr>
            <w:r w:rsidRPr="00110158">
              <w:rPr>
                <w:rFonts w:ascii="Arial" w:hAnsi="Arial" w:cs="Arial"/>
                <w:b/>
              </w:rPr>
              <w:t>Consultation / engagement</w:t>
            </w:r>
          </w:p>
        </w:tc>
      </w:tr>
      <w:tr w:rsidR="00B62FC1" w:rsidTr="00C158B2">
        <w:tc>
          <w:tcPr>
            <w:tcW w:w="9493" w:type="dxa"/>
          </w:tcPr>
          <w:p w:rsidR="00C87713" w:rsidRDefault="00C87713" w:rsidP="006850E9">
            <w:pPr>
              <w:pStyle w:val="NormalWeb"/>
              <w:shd w:val="clear" w:color="auto" w:fill="FFFFFF"/>
              <w:spacing w:after="0"/>
              <w:textAlignment w:val="baseline"/>
              <w:rPr>
                <w:rFonts w:ascii="Arial" w:hAnsi="Arial" w:cs="Arial"/>
              </w:rPr>
            </w:pPr>
            <w:r>
              <w:rPr>
                <w:rFonts w:ascii="Arial" w:hAnsi="Arial" w:cs="Arial"/>
              </w:rPr>
              <w:t>Previous Consultation with regard to travel arrangements is highlighted below. The proposal does not impact on the fundamental agreement in this consultation.</w:t>
            </w:r>
          </w:p>
          <w:p w:rsidR="00CB79BC" w:rsidRPr="00CB79BC" w:rsidRDefault="006850E9" w:rsidP="006850E9">
            <w:pPr>
              <w:pStyle w:val="NormalWeb"/>
              <w:shd w:val="clear" w:color="auto" w:fill="FFFFFF"/>
              <w:spacing w:after="0"/>
              <w:textAlignment w:val="baseline"/>
              <w:rPr>
                <w:rFonts w:ascii="Arial" w:hAnsi="Arial" w:cs="Arial"/>
              </w:rPr>
            </w:pPr>
            <w:r>
              <w:rPr>
                <w:rFonts w:ascii="Arial" w:hAnsi="Arial" w:cs="Arial"/>
              </w:rPr>
              <w:t>From 07/03/2016:</w:t>
            </w:r>
            <w:r>
              <w:rPr>
                <w:rFonts w:ascii="Arial" w:hAnsi="Arial" w:cs="Arial"/>
              </w:rPr>
              <w:br/>
            </w:r>
            <w:r w:rsidRPr="0000571F">
              <w:rPr>
                <w:rFonts w:ascii="Arial" w:hAnsi="Arial" w:cs="Arial"/>
                <w:i/>
                <w:sz w:val="22"/>
                <w:szCs w:val="22"/>
              </w:rPr>
              <w:t>“</w:t>
            </w:r>
            <w:r w:rsidRPr="0000571F">
              <w:rPr>
                <w:rFonts w:ascii="Arial" w:hAnsi="Arial" w:cs="Arial"/>
                <w:b/>
                <w:bCs/>
                <w:i/>
                <w:sz w:val="22"/>
                <w:szCs w:val="22"/>
                <w:bdr w:val="none" w:sz="0" w:space="0" w:color="auto" w:frame="1"/>
              </w:rPr>
              <w:t>Following the day of consultatio</w:t>
            </w:r>
            <w:r w:rsidR="0000571F" w:rsidRPr="0000571F">
              <w:rPr>
                <w:rFonts w:ascii="Arial" w:hAnsi="Arial" w:cs="Arial"/>
                <w:b/>
                <w:bCs/>
                <w:i/>
                <w:sz w:val="22"/>
                <w:szCs w:val="22"/>
                <w:bdr w:val="none" w:sz="0" w:space="0" w:color="auto" w:frame="1"/>
              </w:rPr>
              <w:t>n on 25th February 2016 by</w:t>
            </w:r>
            <w:r w:rsidR="0000571F" w:rsidRPr="0000571F">
              <w:rPr>
                <w:rFonts w:ascii="Arial" w:hAnsi="Arial" w:cs="Arial"/>
                <w:i/>
                <w:sz w:val="22"/>
                <w:szCs w:val="22"/>
              </w:rPr>
              <w:t xml:space="preserve"> </w:t>
            </w:r>
            <w:r w:rsidR="0000571F" w:rsidRPr="00C87713">
              <w:rPr>
                <w:rFonts w:ascii="Arial" w:hAnsi="Arial" w:cs="Arial"/>
                <w:b/>
                <w:i/>
                <w:sz w:val="22"/>
                <w:szCs w:val="22"/>
              </w:rPr>
              <w:t>H</w:t>
            </w:r>
            <w:r w:rsidR="0000571F" w:rsidRPr="00C87713">
              <w:rPr>
                <w:rFonts w:ascii="Arial" w:hAnsi="Arial" w:cs="Arial"/>
                <w:b/>
                <w:i/>
                <w:sz w:val="22"/>
                <w:szCs w:val="22"/>
                <w:shd w:val="clear" w:color="auto" w:fill="FFFFFF"/>
              </w:rPr>
              <w:t>ead of PR &amp; Engagement NHS Highland</w:t>
            </w:r>
            <w:bookmarkStart w:id="0" w:name="_GoBack"/>
            <w:bookmarkEnd w:id="0"/>
            <w:r w:rsidRPr="0000571F">
              <w:rPr>
                <w:rFonts w:ascii="Arial" w:hAnsi="Arial" w:cs="Arial"/>
                <w:b/>
                <w:bCs/>
                <w:i/>
                <w:sz w:val="22"/>
                <w:szCs w:val="22"/>
                <w:bdr w:val="none" w:sz="0" w:space="0" w:color="auto" w:frame="1"/>
              </w:rPr>
              <w:t xml:space="preserve"> in relation to patient transport for Islay and Jura, the following has been agreed with immediate effect: People will not be expected to travel to medical appointments by ferry/bus as this is considered to be unreasonable. Therefore people who are not able to drive or be driven on the mainland will be able to access travel by plane. All people who have a medical need to fly will continue to do so. The patient transport team on Islay are also making other enquiries which should lead to further improvements in the way patient transport is dealt with on Islay and Jura in the future. This development is supported by the LPG and will be monitored in the coming months.”</w:t>
            </w:r>
          </w:p>
        </w:tc>
      </w:tr>
    </w:tbl>
    <w:p w:rsidR="00B62FC1" w:rsidRDefault="00B62FC1" w:rsidP="00B62FC1">
      <w:pPr>
        <w:rPr>
          <w:rFonts w:ascii="Arial" w:hAnsi="Arial" w:cs="Arial"/>
        </w:rPr>
      </w:pPr>
    </w:p>
    <w:tbl>
      <w:tblPr>
        <w:tblStyle w:val="TableGrid"/>
        <w:tblW w:w="9493" w:type="dxa"/>
        <w:tblLook w:val="04A0" w:firstRow="1" w:lastRow="0" w:firstColumn="1" w:lastColumn="0" w:noHBand="0" w:noVBand="1"/>
      </w:tblPr>
      <w:tblGrid>
        <w:gridCol w:w="9493"/>
      </w:tblGrid>
      <w:tr w:rsidR="00B62FC1" w:rsidTr="00C158B2">
        <w:tc>
          <w:tcPr>
            <w:tcW w:w="9493" w:type="dxa"/>
          </w:tcPr>
          <w:p w:rsidR="00B62FC1" w:rsidRPr="00110158" w:rsidRDefault="00B62FC1" w:rsidP="006D5698">
            <w:pPr>
              <w:rPr>
                <w:rFonts w:ascii="Arial" w:hAnsi="Arial" w:cs="Arial"/>
                <w:b/>
              </w:rPr>
            </w:pPr>
            <w:r w:rsidRPr="00110158">
              <w:rPr>
                <w:rFonts w:ascii="Arial" w:hAnsi="Arial" w:cs="Arial"/>
                <w:b/>
              </w:rPr>
              <w:t>Data</w:t>
            </w:r>
          </w:p>
        </w:tc>
      </w:tr>
      <w:tr w:rsidR="00B62FC1" w:rsidTr="00C158B2">
        <w:tc>
          <w:tcPr>
            <w:tcW w:w="9493" w:type="dxa"/>
          </w:tcPr>
          <w:p w:rsidR="00A477ED" w:rsidRPr="006C5BE4" w:rsidRDefault="006850E9" w:rsidP="006C5BE4">
            <w:pPr>
              <w:pStyle w:val="ListParagraph"/>
              <w:numPr>
                <w:ilvl w:val="0"/>
                <w:numId w:val="26"/>
              </w:numPr>
              <w:rPr>
                <w:rFonts w:ascii="Arial" w:hAnsi="Arial" w:cs="Arial"/>
              </w:rPr>
            </w:pPr>
            <w:r w:rsidRPr="006C5BE4">
              <w:rPr>
                <w:rFonts w:ascii="Arial" w:hAnsi="Arial" w:cs="Arial"/>
              </w:rPr>
              <w:t>6 month data collection project in 2005.  Findings of this are not available locally.</w:t>
            </w:r>
          </w:p>
          <w:p w:rsidR="00FA4236" w:rsidRPr="00A617C0" w:rsidRDefault="006C5BE4" w:rsidP="00A617C0">
            <w:pPr>
              <w:pStyle w:val="ListParagraph"/>
              <w:numPr>
                <w:ilvl w:val="0"/>
                <w:numId w:val="26"/>
              </w:numPr>
              <w:rPr>
                <w:rFonts w:ascii="Arial" w:hAnsi="Arial" w:cs="Arial"/>
              </w:rPr>
            </w:pPr>
            <w:r w:rsidRPr="006C5BE4">
              <w:rPr>
                <w:rFonts w:ascii="Arial" w:hAnsi="Arial" w:cs="Arial"/>
              </w:rPr>
              <w:t>12-18 month review / (possible) engagement in 2016/2017.  Findings of this are not available locally.</w:t>
            </w:r>
          </w:p>
          <w:p w:rsidR="00CB79BC" w:rsidRPr="00FA4236" w:rsidRDefault="00FA4236" w:rsidP="00FA4236">
            <w:pPr>
              <w:pStyle w:val="ListParagraph"/>
              <w:numPr>
                <w:ilvl w:val="0"/>
                <w:numId w:val="26"/>
              </w:numPr>
              <w:rPr>
                <w:rFonts w:ascii="Arial" w:hAnsi="Arial" w:cs="Arial"/>
              </w:rPr>
            </w:pPr>
            <w:r w:rsidRPr="00FA4236">
              <w:rPr>
                <w:rFonts w:ascii="Arial" w:hAnsi="Arial" w:cs="Arial"/>
              </w:rPr>
              <w:t>For the 2018/2019 financial year, escort costs to the patient travel budget were £126,549 - 31% of the total spend.</w:t>
            </w:r>
          </w:p>
          <w:p w:rsidR="00FA4236" w:rsidRPr="00FA4236" w:rsidRDefault="00FA4236" w:rsidP="00FA4236">
            <w:pPr>
              <w:pStyle w:val="ListParagraph"/>
              <w:numPr>
                <w:ilvl w:val="0"/>
                <w:numId w:val="26"/>
              </w:numPr>
              <w:rPr>
                <w:rFonts w:ascii="Arial" w:hAnsi="Arial" w:cs="Arial"/>
              </w:rPr>
            </w:pPr>
            <w:r w:rsidRPr="00FA4236">
              <w:rPr>
                <w:rFonts w:ascii="Arial" w:hAnsi="Arial" w:cs="Arial"/>
              </w:rPr>
              <w:t>For 2019/2020 financial year, escort costs to the patient travel budget were £105,374 - 27% of the total spend.</w:t>
            </w:r>
          </w:p>
        </w:tc>
      </w:tr>
    </w:tbl>
    <w:p w:rsidR="00B62FC1" w:rsidRDefault="00B62FC1" w:rsidP="00B62FC1">
      <w:pPr>
        <w:rPr>
          <w:rFonts w:ascii="Arial" w:hAnsi="Arial" w:cs="Arial"/>
        </w:rPr>
      </w:pPr>
    </w:p>
    <w:tbl>
      <w:tblPr>
        <w:tblStyle w:val="TableGrid"/>
        <w:tblW w:w="9493" w:type="dxa"/>
        <w:tblLook w:val="04A0" w:firstRow="1" w:lastRow="0" w:firstColumn="1" w:lastColumn="0" w:noHBand="0" w:noVBand="1"/>
      </w:tblPr>
      <w:tblGrid>
        <w:gridCol w:w="9493"/>
      </w:tblGrid>
      <w:tr w:rsidR="00B62FC1" w:rsidTr="00C158B2">
        <w:tc>
          <w:tcPr>
            <w:tcW w:w="9493" w:type="dxa"/>
          </w:tcPr>
          <w:p w:rsidR="00B62FC1" w:rsidRPr="00110158" w:rsidRDefault="00B62FC1" w:rsidP="006D5698">
            <w:pPr>
              <w:rPr>
                <w:rFonts w:ascii="Arial" w:hAnsi="Arial" w:cs="Arial"/>
                <w:b/>
              </w:rPr>
            </w:pPr>
            <w:r w:rsidRPr="00110158">
              <w:rPr>
                <w:rFonts w:ascii="Arial" w:hAnsi="Arial" w:cs="Arial"/>
                <w:b/>
              </w:rPr>
              <w:t>Other information</w:t>
            </w:r>
          </w:p>
        </w:tc>
      </w:tr>
      <w:tr w:rsidR="00B62FC1" w:rsidTr="00C158B2">
        <w:tc>
          <w:tcPr>
            <w:tcW w:w="9493" w:type="dxa"/>
          </w:tcPr>
          <w:p w:rsidR="006C5BE4" w:rsidRDefault="006C5BE4" w:rsidP="00CB79BC">
            <w:pPr>
              <w:rPr>
                <w:rFonts w:ascii="Arial" w:hAnsi="Arial" w:cs="Arial"/>
              </w:rPr>
            </w:pPr>
            <w:r>
              <w:rPr>
                <w:rFonts w:ascii="Arial" w:hAnsi="Arial" w:cs="Arial"/>
              </w:rPr>
              <w:t xml:space="preserve">Patients attending mainland hospital appointments, who are not eligible for an escort, can choose to self-fund a companion travelling with them. </w:t>
            </w:r>
          </w:p>
          <w:p w:rsidR="00CB79BC" w:rsidRPr="00CB79BC" w:rsidRDefault="00CB79BC" w:rsidP="00CB79BC">
            <w:pPr>
              <w:rPr>
                <w:rFonts w:ascii="Arial" w:hAnsi="Arial" w:cs="Arial"/>
              </w:rPr>
            </w:pPr>
          </w:p>
        </w:tc>
      </w:tr>
    </w:tbl>
    <w:p w:rsidR="00B62FC1" w:rsidRDefault="00B62FC1" w:rsidP="00B62FC1">
      <w:pPr>
        <w:rPr>
          <w:rFonts w:ascii="Arial" w:hAnsi="Arial" w:cs="Arial"/>
        </w:rPr>
      </w:pPr>
    </w:p>
    <w:tbl>
      <w:tblPr>
        <w:tblStyle w:val="TableGrid"/>
        <w:tblW w:w="9493" w:type="dxa"/>
        <w:tblLook w:val="04A0" w:firstRow="1" w:lastRow="0" w:firstColumn="1" w:lastColumn="0" w:noHBand="0" w:noVBand="1"/>
      </w:tblPr>
      <w:tblGrid>
        <w:gridCol w:w="9493"/>
      </w:tblGrid>
      <w:tr w:rsidR="00B62FC1" w:rsidTr="00C158B2">
        <w:tc>
          <w:tcPr>
            <w:tcW w:w="9493" w:type="dxa"/>
          </w:tcPr>
          <w:p w:rsidR="00B62FC1" w:rsidRPr="00110158" w:rsidRDefault="00B62FC1" w:rsidP="006D5698">
            <w:pPr>
              <w:rPr>
                <w:rFonts w:ascii="Arial" w:hAnsi="Arial" w:cs="Arial"/>
                <w:b/>
              </w:rPr>
            </w:pPr>
            <w:r w:rsidRPr="00110158">
              <w:rPr>
                <w:rFonts w:ascii="Arial" w:hAnsi="Arial" w:cs="Arial"/>
                <w:b/>
              </w:rPr>
              <w:t>Gaps in evidence</w:t>
            </w:r>
          </w:p>
        </w:tc>
      </w:tr>
      <w:tr w:rsidR="00B62FC1" w:rsidTr="00C158B2">
        <w:tc>
          <w:tcPr>
            <w:tcW w:w="9493" w:type="dxa"/>
          </w:tcPr>
          <w:p w:rsidR="00B62FC1" w:rsidRDefault="006C5BE4" w:rsidP="00CB79BC">
            <w:pPr>
              <w:rPr>
                <w:rFonts w:ascii="Arial" w:hAnsi="Arial" w:cs="Arial"/>
              </w:rPr>
            </w:pPr>
            <w:r>
              <w:rPr>
                <w:rFonts w:ascii="Arial" w:hAnsi="Arial" w:cs="Arial"/>
              </w:rPr>
              <w:t>None</w:t>
            </w:r>
          </w:p>
          <w:p w:rsidR="00CB79BC" w:rsidRPr="00CB79BC" w:rsidRDefault="00CB79BC" w:rsidP="00CB79BC">
            <w:pPr>
              <w:rPr>
                <w:rFonts w:ascii="Arial" w:hAnsi="Arial" w:cs="Arial"/>
              </w:rPr>
            </w:pPr>
          </w:p>
        </w:tc>
      </w:tr>
    </w:tbl>
    <w:p w:rsidR="00B62FC1"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3: Impact of proposal</w:t>
      </w:r>
    </w:p>
    <w:p w:rsidR="0093189F" w:rsidRPr="00CB79BC" w:rsidRDefault="0093189F" w:rsidP="0093189F">
      <w:pPr>
        <w:rPr>
          <w:rFonts w:ascii="Arial" w:hAnsi="Arial" w:cs="Arial"/>
        </w:rPr>
      </w:pPr>
    </w:p>
    <w:p w:rsidR="00B62FC1" w:rsidRPr="00675C29" w:rsidRDefault="00B62FC1" w:rsidP="00B62FC1">
      <w:pPr>
        <w:rPr>
          <w:rFonts w:ascii="Arial" w:hAnsi="Arial" w:cs="Arial"/>
          <w:b/>
        </w:rPr>
      </w:pPr>
      <w:r w:rsidRPr="00675C29">
        <w:rPr>
          <w:rFonts w:ascii="Arial" w:hAnsi="Arial" w:cs="Arial"/>
          <w:b/>
        </w:rPr>
        <w:t>Impact on service users:</w:t>
      </w:r>
    </w:p>
    <w:tbl>
      <w:tblPr>
        <w:tblStyle w:val="TableGrid"/>
        <w:tblW w:w="9351" w:type="dxa"/>
        <w:tblLook w:val="04A0" w:firstRow="1" w:lastRow="0" w:firstColumn="1" w:lastColumn="0" w:noHBand="0" w:noVBand="1"/>
      </w:tblPr>
      <w:tblGrid>
        <w:gridCol w:w="3397"/>
        <w:gridCol w:w="1418"/>
        <w:gridCol w:w="1559"/>
        <w:gridCol w:w="1559"/>
        <w:gridCol w:w="1418"/>
      </w:tblGrid>
      <w:tr w:rsidR="00E74C7E" w:rsidRPr="00675C29" w:rsidTr="003F7B21">
        <w:trPr>
          <w:cantSplit/>
          <w:tblHeader/>
        </w:trPr>
        <w:tc>
          <w:tcPr>
            <w:tcW w:w="3397" w:type="dxa"/>
          </w:tcPr>
          <w:p w:rsidR="00E74C7E" w:rsidRPr="00675C29" w:rsidRDefault="00E74C7E" w:rsidP="006D5698">
            <w:pPr>
              <w:rPr>
                <w:rFonts w:ascii="Arial" w:hAnsi="Arial" w:cs="Arial"/>
              </w:rPr>
            </w:pPr>
          </w:p>
        </w:tc>
        <w:tc>
          <w:tcPr>
            <w:tcW w:w="1418" w:type="dxa"/>
          </w:tcPr>
          <w:p w:rsidR="00E74C7E" w:rsidRPr="00675C29" w:rsidRDefault="00E74C7E" w:rsidP="006D5698">
            <w:pPr>
              <w:rPr>
                <w:rFonts w:ascii="Arial" w:hAnsi="Arial" w:cs="Arial"/>
                <w:b/>
              </w:rPr>
            </w:pPr>
            <w:r w:rsidRPr="00675C29">
              <w:rPr>
                <w:rFonts w:ascii="Arial" w:hAnsi="Arial" w:cs="Arial"/>
                <w:b/>
              </w:rPr>
              <w:t>Negative</w:t>
            </w:r>
          </w:p>
        </w:tc>
        <w:tc>
          <w:tcPr>
            <w:tcW w:w="1559" w:type="dxa"/>
          </w:tcPr>
          <w:p w:rsidR="00E74C7E" w:rsidRPr="00675C29" w:rsidRDefault="00E74C7E" w:rsidP="006D5698">
            <w:pPr>
              <w:rPr>
                <w:rFonts w:ascii="Arial" w:hAnsi="Arial" w:cs="Arial"/>
                <w:b/>
              </w:rPr>
            </w:pPr>
            <w:r w:rsidRPr="00675C29">
              <w:rPr>
                <w:rFonts w:ascii="Arial" w:hAnsi="Arial" w:cs="Arial"/>
                <w:b/>
              </w:rPr>
              <w:t>No impact</w:t>
            </w:r>
          </w:p>
        </w:tc>
        <w:tc>
          <w:tcPr>
            <w:tcW w:w="1559" w:type="dxa"/>
          </w:tcPr>
          <w:p w:rsidR="00E74C7E" w:rsidRPr="00675C29" w:rsidRDefault="00E74C7E" w:rsidP="006D5698">
            <w:pPr>
              <w:rPr>
                <w:rFonts w:ascii="Arial" w:hAnsi="Arial" w:cs="Arial"/>
                <w:b/>
              </w:rPr>
            </w:pPr>
            <w:r w:rsidRPr="00675C29">
              <w:rPr>
                <w:rFonts w:ascii="Arial" w:hAnsi="Arial" w:cs="Arial"/>
                <w:b/>
              </w:rPr>
              <w:t>Positive</w:t>
            </w:r>
          </w:p>
        </w:tc>
        <w:tc>
          <w:tcPr>
            <w:tcW w:w="1418" w:type="dxa"/>
          </w:tcPr>
          <w:p w:rsidR="00E74C7E" w:rsidRPr="00675C29" w:rsidRDefault="00E74C7E" w:rsidP="006D5698">
            <w:pPr>
              <w:rPr>
                <w:rFonts w:ascii="Arial" w:hAnsi="Arial" w:cs="Arial"/>
                <w:b/>
              </w:rPr>
            </w:pPr>
            <w:r w:rsidRPr="00675C29">
              <w:rPr>
                <w:rFonts w:ascii="Arial" w:hAnsi="Arial" w:cs="Arial"/>
                <w:b/>
              </w:rPr>
              <w:t>Don’t know</w:t>
            </w:r>
          </w:p>
        </w:tc>
      </w:tr>
      <w:tr w:rsidR="009D6F9D" w:rsidRPr="00675C29" w:rsidTr="003F7B21">
        <w:tc>
          <w:tcPr>
            <w:tcW w:w="3397" w:type="dxa"/>
          </w:tcPr>
          <w:p w:rsidR="009D6F9D" w:rsidRPr="00DB5C72" w:rsidRDefault="009D6F9D" w:rsidP="006D5698">
            <w:pPr>
              <w:rPr>
                <w:rFonts w:ascii="Arial" w:hAnsi="Arial" w:cs="Arial"/>
                <w:b/>
              </w:rPr>
            </w:pPr>
            <w:r w:rsidRPr="00DB5C72">
              <w:rPr>
                <w:rFonts w:ascii="Arial" w:hAnsi="Arial" w:cs="Arial"/>
                <w:b/>
              </w:rPr>
              <w:t>Protected characteristics:</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Age</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Disability</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Ethnicity</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Pr>
                <w:rFonts w:ascii="Arial" w:hAnsi="Arial" w:cs="Arial"/>
              </w:rPr>
              <w:t>Sex</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Gender reassignment</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Marriage and Civil Partnership</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Pregnancy and Maternity</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Religion</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Sexual Orientation</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DB5C72" w:rsidRDefault="009D6F9D" w:rsidP="006D5698">
            <w:pPr>
              <w:rPr>
                <w:rFonts w:ascii="Arial" w:hAnsi="Arial" w:cs="Arial"/>
                <w:b/>
              </w:rPr>
            </w:pPr>
            <w:r w:rsidRPr="00DB5C72">
              <w:rPr>
                <w:rFonts w:ascii="Arial" w:hAnsi="Arial" w:cs="Arial"/>
                <w:b/>
              </w:rPr>
              <w:t>Fairer Scotland Duty:</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Mainland rural population</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N/A</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Island populations</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 xml:space="preserve">Low income </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Low wealth</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Material deprivation</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Area deprivation</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6D5698">
            <w:pPr>
              <w:rPr>
                <w:rFonts w:ascii="Arial" w:hAnsi="Arial" w:cs="Arial"/>
              </w:rPr>
            </w:pPr>
            <w:r w:rsidRPr="00675C29">
              <w:rPr>
                <w:rFonts w:ascii="Arial" w:hAnsi="Arial" w:cs="Arial"/>
              </w:rPr>
              <w:t>Socio-economic background</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93189F">
            <w:pPr>
              <w:rPr>
                <w:rFonts w:ascii="Arial" w:hAnsi="Arial" w:cs="Arial"/>
              </w:rPr>
            </w:pPr>
            <w:r w:rsidRPr="00675C29">
              <w:rPr>
                <w:rFonts w:ascii="Arial" w:hAnsi="Arial" w:cs="Arial"/>
              </w:rPr>
              <w:t>Communities of place</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r w:rsidR="009D6F9D" w:rsidRPr="00675C29" w:rsidTr="003F7B21">
        <w:tc>
          <w:tcPr>
            <w:tcW w:w="3397" w:type="dxa"/>
          </w:tcPr>
          <w:p w:rsidR="009D6F9D" w:rsidRPr="00675C29" w:rsidRDefault="009D6F9D" w:rsidP="0093189F">
            <w:pPr>
              <w:rPr>
                <w:rFonts w:ascii="Arial" w:hAnsi="Arial" w:cs="Arial"/>
              </w:rPr>
            </w:pPr>
            <w:r w:rsidRPr="00675C29">
              <w:rPr>
                <w:rFonts w:ascii="Arial" w:hAnsi="Arial" w:cs="Arial"/>
              </w:rPr>
              <w:t>Communities of interest</w:t>
            </w:r>
          </w:p>
        </w:tc>
        <w:tc>
          <w:tcPr>
            <w:tcW w:w="1418" w:type="dxa"/>
          </w:tcPr>
          <w:p w:rsidR="009D6F9D" w:rsidRPr="00675C29" w:rsidRDefault="009D6F9D" w:rsidP="006D5698">
            <w:pPr>
              <w:rPr>
                <w:rFonts w:ascii="Arial" w:hAnsi="Arial" w:cs="Arial"/>
              </w:rPr>
            </w:pPr>
          </w:p>
        </w:tc>
        <w:tc>
          <w:tcPr>
            <w:tcW w:w="1559" w:type="dxa"/>
          </w:tcPr>
          <w:p w:rsidR="009D6F9D" w:rsidRPr="00675C29" w:rsidRDefault="009D6F9D" w:rsidP="00FE06A3">
            <w:pPr>
              <w:rPr>
                <w:rFonts w:ascii="Arial" w:hAnsi="Arial" w:cs="Arial"/>
              </w:rPr>
            </w:pPr>
            <w:r>
              <w:rPr>
                <w:rFonts w:ascii="Arial" w:hAnsi="Arial" w:cs="Arial"/>
              </w:rPr>
              <w:t>√</w:t>
            </w:r>
          </w:p>
        </w:tc>
        <w:tc>
          <w:tcPr>
            <w:tcW w:w="1559" w:type="dxa"/>
          </w:tcPr>
          <w:p w:rsidR="009D6F9D" w:rsidRPr="00675C29" w:rsidRDefault="009D6F9D" w:rsidP="00FE06A3">
            <w:pPr>
              <w:rPr>
                <w:rFonts w:ascii="Arial" w:hAnsi="Arial" w:cs="Arial"/>
              </w:rPr>
            </w:pPr>
          </w:p>
        </w:tc>
        <w:tc>
          <w:tcPr>
            <w:tcW w:w="1418" w:type="dxa"/>
          </w:tcPr>
          <w:p w:rsidR="009D6F9D" w:rsidRPr="00675C29" w:rsidRDefault="009D6F9D" w:rsidP="006D5698">
            <w:pPr>
              <w:rPr>
                <w:rFonts w:ascii="Arial" w:hAnsi="Arial" w:cs="Arial"/>
              </w:rPr>
            </w:pPr>
          </w:p>
        </w:tc>
      </w:tr>
    </w:tbl>
    <w:p w:rsidR="00B62FC1" w:rsidRDefault="00B62FC1" w:rsidP="00B62FC1">
      <w:pPr>
        <w:rPr>
          <w:rFonts w:ascii="Arial" w:hAnsi="Arial" w:cs="Arial"/>
        </w:rPr>
      </w:pPr>
    </w:p>
    <w:p w:rsidR="00C158B2" w:rsidRDefault="00C158B2" w:rsidP="00B62FC1">
      <w:pPr>
        <w:rPr>
          <w:rFonts w:ascii="Arial" w:hAnsi="Arial" w:cs="Arial"/>
        </w:rPr>
      </w:pPr>
    </w:p>
    <w:p w:rsidR="00C158B2" w:rsidRPr="00675C29" w:rsidRDefault="00C158B2" w:rsidP="00B62FC1">
      <w:pPr>
        <w:rPr>
          <w:rFonts w:ascii="Arial" w:hAnsi="Arial" w:cs="Arial"/>
        </w:rPr>
      </w:pPr>
    </w:p>
    <w:p w:rsidR="00B62FC1" w:rsidRPr="00675C29" w:rsidRDefault="00B62FC1" w:rsidP="00B62FC1">
      <w:pPr>
        <w:rPr>
          <w:rFonts w:ascii="Arial" w:hAnsi="Arial" w:cs="Arial"/>
          <w:b/>
        </w:rPr>
      </w:pPr>
      <w:r w:rsidRPr="00675C29">
        <w:rPr>
          <w:rFonts w:ascii="Arial" w:hAnsi="Arial" w:cs="Arial"/>
          <w:b/>
        </w:rPr>
        <w:t xml:space="preserve">Impact on </w:t>
      </w:r>
      <w:r w:rsidR="00DB5C72">
        <w:rPr>
          <w:rFonts w:ascii="Arial" w:hAnsi="Arial" w:cs="Arial"/>
          <w:b/>
        </w:rPr>
        <w:t>service deliverers (</w:t>
      </w:r>
      <w:r w:rsidR="0041644A">
        <w:rPr>
          <w:rFonts w:ascii="Arial" w:hAnsi="Arial" w:cs="Arial"/>
          <w:b/>
        </w:rPr>
        <w:t>including</w:t>
      </w:r>
      <w:r w:rsidR="00DB5C72">
        <w:rPr>
          <w:rFonts w:ascii="Arial" w:hAnsi="Arial" w:cs="Arial"/>
          <w:b/>
        </w:rPr>
        <w:t xml:space="preserve"> </w:t>
      </w:r>
      <w:r w:rsidRPr="00675C29">
        <w:rPr>
          <w:rFonts w:ascii="Arial" w:hAnsi="Arial" w:cs="Arial"/>
          <w:b/>
        </w:rPr>
        <w:t>employees</w:t>
      </w:r>
      <w:r w:rsidR="00DB5C72">
        <w:rPr>
          <w:rFonts w:ascii="Arial" w:hAnsi="Arial" w:cs="Arial"/>
          <w:b/>
        </w:rPr>
        <w:t>, volunteers etc</w:t>
      </w:r>
      <w:r w:rsidR="00CB79BC">
        <w:rPr>
          <w:rFonts w:ascii="Arial" w:hAnsi="Arial" w:cs="Arial"/>
          <w:b/>
        </w:rPr>
        <w:t>.</w:t>
      </w:r>
      <w:r w:rsidR="00DB5C72">
        <w:rPr>
          <w:rFonts w:ascii="Arial" w:hAnsi="Arial" w:cs="Arial"/>
          <w:b/>
        </w:rPr>
        <w:t>)</w:t>
      </w:r>
      <w:r w:rsidRPr="00675C29">
        <w:rPr>
          <w:rFonts w:ascii="Arial" w:hAnsi="Arial" w:cs="Arial"/>
          <w:b/>
        </w:rPr>
        <w:t>:</w:t>
      </w:r>
    </w:p>
    <w:tbl>
      <w:tblPr>
        <w:tblStyle w:val="TableGrid"/>
        <w:tblW w:w="9351" w:type="dxa"/>
        <w:tblLook w:val="04A0" w:firstRow="1" w:lastRow="0" w:firstColumn="1" w:lastColumn="0" w:noHBand="0" w:noVBand="1"/>
      </w:tblPr>
      <w:tblGrid>
        <w:gridCol w:w="3397"/>
        <w:gridCol w:w="1418"/>
        <w:gridCol w:w="1701"/>
        <w:gridCol w:w="1276"/>
        <w:gridCol w:w="1559"/>
      </w:tblGrid>
      <w:tr w:rsidR="003F7B21" w:rsidRPr="00675C29" w:rsidTr="003F7B21">
        <w:trPr>
          <w:cantSplit/>
          <w:tblHeader/>
        </w:trPr>
        <w:tc>
          <w:tcPr>
            <w:tcW w:w="3397" w:type="dxa"/>
          </w:tcPr>
          <w:p w:rsidR="003F7B21" w:rsidRPr="00675C29" w:rsidRDefault="003F7B21" w:rsidP="006D5698">
            <w:pPr>
              <w:rPr>
                <w:rFonts w:ascii="Arial" w:hAnsi="Arial" w:cs="Arial"/>
                <w:b/>
              </w:rPr>
            </w:pPr>
          </w:p>
        </w:tc>
        <w:tc>
          <w:tcPr>
            <w:tcW w:w="1418" w:type="dxa"/>
          </w:tcPr>
          <w:p w:rsidR="003F7B21" w:rsidRPr="00675C29" w:rsidRDefault="003F7B21" w:rsidP="006D5698">
            <w:pPr>
              <w:rPr>
                <w:rFonts w:ascii="Arial" w:hAnsi="Arial" w:cs="Arial"/>
                <w:b/>
              </w:rPr>
            </w:pPr>
            <w:r w:rsidRPr="00675C29">
              <w:rPr>
                <w:rFonts w:ascii="Arial" w:hAnsi="Arial" w:cs="Arial"/>
                <w:b/>
              </w:rPr>
              <w:t>Negative</w:t>
            </w:r>
          </w:p>
        </w:tc>
        <w:tc>
          <w:tcPr>
            <w:tcW w:w="1701" w:type="dxa"/>
          </w:tcPr>
          <w:p w:rsidR="003F7B21" w:rsidRPr="00675C29" w:rsidRDefault="003F7B21" w:rsidP="006D5698">
            <w:pPr>
              <w:rPr>
                <w:rFonts w:ascii="Arial" w:hAnsi="Arial" w:cs="Arial"/>
                <w:b/>
              </w:rPr>
            </w:pPr>
            <w:r w:rsidRPr="00675C29">
              <w:rPr>
                <w:rFonts w:ascii="Arial" w:hAnsi="Arial" w:cs="Arial"/>
                <w:b/>
              </w:rPr>
              <w:t>No impact</w:t>
            </w:r>
          </w:p>
        </w:tc>
        <w:tc>
          <w:tcPr>
            <w:tcW w:w="1276" w:type="dxa"/>
          </w:tcPr>
          <w:p w:rsidR="003F7B21" w:rsidRPr="00675C29" w:rsidRDefault="003F7B21" w:rsidP="006D5698">
            <w:pPr>
              <w:rPr>
                <w:rFonts w:ascii="Arial" w:hAnsi="Arial" w:cs="Arial"/>
                <w:b/>
              </w:rPr>
            </w:pPr>
            <w:r w:rsidRPr="00675C29">
              <w:rPr>
                <w:rFonts w:ascii="Arial" w:hAnsi="Arial" w:cs="Arial"/>
                <w:b/>
              </w:rPr>
              <w:t>Positive</w:t>
            </w:r>
          </w:p>
        </w:tc>
        <w:tc>
          <w:tcPr>
            <w:tcW w:w="1559" w:type="dxa"/>
          </w:tcPr>
          <w:p w:rsidR="003F7B21" w:rsidRPr="00675C29" w:rsidRDefault="003F7B21" w:rsidP="006D5698">
            <w:pPr>
              <w:rPr>
                <w:rFonts w:ascii="Arial" w:hAnsi="Arial" w:cs="Arial"/>
                <w:b/>
              </w:rPr>
            </w:pPr>
            <w:r w:rsidRPr="00675C29">
              <w:rPr>
                <w:rFonts w:ascii="Arial" w:hAnsi="Arial" w:cs="Arial"/>
                <w:b/>
              </w:rPr>
              <w:t>Don’t know</w:t>
            </w:r>
          </w:p>
        </w:tc>
      </w:tr>
      <w:tr w:rsidR="003F7B21" w:rsidRPr="00675C29" w:rsidTr="003F7B21">
        <w:tc>
          <w:tcPr>
            <w:tcW w:w="3397" w:type="dxa"/>
          </w:tcPr>
          <w:p w:rsidR="003F7B21" w:rsidRPr="00DB5C72" w:rsidRDefault="003F7B21" w:rsidP="006D5698">
            <w:pPr>
              <w:rPr>
                <w:rFonts w:ascii="Arial" w:hAnsi="Arial" w:cs="Arial"/>
                <w:b/>
              </w:rPr>
            </w:pPr>
            <w:r w:rsidRPr="00DB5C72">
              <w:rPr>
                <w:rFonts w:ascii="Arial" w:hAnsi="Arial" w:cs="Arial"/>
                <w:b/>
              </w:rPr>
              <w:t>Protected characteristics:</w:t>
            </w:r>
          </w:p>
        </w:tc>
        <w:tc>
          <w:tcPr>
            <w:tcW w:w="1418" w:type="dxa"/>
          </w:tcPr>
          <w:p w:rsidR="003F7B21" w:rsidRPr="00675C29" w:rsidRDefault="003F7B21" w:rsidP="006D5698">
            <w:pPr>
              <w:rPr>
                <w:rFonts w:ascii="Arial" w:hAnsi="Arial" w:cs="Arial"/>
              </w:rPr>
            </w:pPr>
          </w:p>
        </w:tc>
        <w:tc>
          <w:tcPr>
            <w:tcW w:w="1701" w:type="dxa"/>
          </w:tcPr>
          <w:p w:rsidR="003F7B21" w:rsidRPr="00675C29" w:rsidRDefault="003F7B21" w:rsidP="006D5698">
            <w:pPr>
              <w:rPr>
                <w:rFonts w:ascii="Arial" w:hAnsi="Arial" w:cs="Arial"/>
              </w:rPr>
            </w:pP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Age</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Disability</w:t>
            </w:r>
          </w:p>
        </w:tc>
        <w:tc>
          <w:tcPr>
            <w:tcW w:w="1418" w:type="dxa"/>
          </w:tcPr>
          <w:p w:rsidR="003F7B21" w:rsidRPr="00675C29" w:rsidRDefault="003F7B21" w:rsidP="006D5698">
            <w:pPr>
              <w:rPr>
                <w:rFonts w:ascii="Arial" w:hAnsi="Arial" w:cs="Arial"/>
              </w:rPr>
            </w:pPr>
          </w:p>
        </w:tc>
        <w:tc>
          <w:tcPr>
            <w:tcW w:w="1701" w:type="dxa"/>
          </w:tcPr>
          <w:p w:rsidR="003F7B21" w:rsidRPr="00675C29" w:rsidRDefault="003F7B21" w:rsidP="006D5698">
            <w:pPr>
              <w:rPr>
                <w:rFonts w:ascii="Arial" w:hAnsi="Arial" w:cs="Arial"/>
              </w:rPr>
            </w:pPr>
          </w:p>
        </w:tc>
        <w:tc>
          <w:tcPr>
            <w:tcW w:w="1276" w:type="dxa"/>
          </w:tcPr>
          <w:p w:rsidR="003F7B21" w:rsidRPr="00675C29" w:rsidRDefault="00763CD1" w:rsidP="006D5698">
            <w:pPr>
              <w:rPr>
                <w:rFonts w:ascii="Arial" w:hAnsi="Arial" w:cs="Arial"/>
              </w:rPr>
            </w:pPr>
            <w:r>
              <w:rPr>
                <w:rFonts w:ascii="Arial" w:hAnsi="Arial" w:cs="Arial"/>
              </w:rPr>
              <w:t>√</w:t>
            </w: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Ethnicity</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Pr>
                <w:rFonts w:ascii="Arial" w:hAnsi="Arial" w:cs="Arial"/>
              </w:rPr>
              <w:t>Sex</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Gender reassignment</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Marriage and Civil Partnership</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Pregnancy and Maternity</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Religion</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Sexual Orientation</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DB5C72" w:rsidRDefault="003F7B21" w:rsidP="006D5698">
            <w:pPr>
              <w:rPr>
                <w:rFonts w:ascii="Arial" w:hAnsi="Arial" w:cs="Arial"/>
                <w:b/>
              </w:rPr>
            </w:pPr>
            <w:r w:rsidRPr="00DB5C72">
              <w:rPr>
                <w:rFonts w:ascii="Arial" w:hAnsi="Arial" w:cs="Arial"/>
                <w:b/>
              </w:rPr>
              <w:t>Fairer Scotland Duty:</w:t>
            </w:r>
          </w:p>
        </w:tc>
        <w:tc>
          <w:tcPr>
            <w:tcW w:w="1418" w:type="dxa"/>
          </w:tcPr>
          <w:p w:rsidR="003F7B21" w:rsidRPr="00675C29" w:rsidRDefault="003F7B21" w:rsidP="006D5698">
            <w:pPr>
              <w:rPr>
                <w:rFonts w:ascii="Arial" w:hAnsi="Arial" w:cs="Arial"/>
              </w:rPr>
            </w:pPr>
          </w:p>
        </w:tc>
        <w:tc>
          <w:tcPr>
            <w:tcW w:w="1701" w:type="dxa"/>
          </w:tcPr>
          <w:p w:rsidR="003F7B21" w:rsidRPr="00675C29" w:rsidRDefault="003F7B21" w:rsidP="006D5698">
            <w:pPr>
              <w:rPr>
                <w:rFonts w:ascii="Arial" w:hAnsi="Arial" w:cs="Arial"/>
              </w:rPr>
            </w:pP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Mainland rural population</w:t>
            </w:r>
          </w:p>
        </w:tc>
        <w:tc>
          <w:tcPr>
            <w:tcW w:w="1418" w:type="dxa"/>
          </w:tcPr>
          <w:p w:rsidR="003F7B21" w:rsidRPr="00675C29" w:rsidRDefault="003F7B21" w:rsidP="006D5698">
            <w:pPr>
              <w:rPr>
                <w:rFonts w:ascii="Arial" w:hAnsi="Arial" w:cs="Arial"/>
              </w:rPr>
            </w:pPr>
          </w:p>
        </w:tc>
        <w:tc>
          <w:tcPr>
            <w:tcW w:w="1701" w:type="dxa"/>
          </w:tcPr>
          <w:p w:rsidR="003F7B21" w:rsidRPr="00675C29" w:rsidRDefault="00763CD1" w:rsidP="006D5698">
            <w:pPr>
              <w:rPr>
                <w:rFonts w:ascii="Arial" w:hAnsi="Arial" w:cs="Arial"/>
              </w:rPr>
            </w:pPr>
            <w:r>
              <w:rPr>
                <w:rFonts w:ascii="Arial" w:hAnsi="Arial" w:cs="Arial"/>
              </w:rPr>
              <w:t>N/A</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Island populations</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 xml:space="preserve">Low income </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Low wealth</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Material deprivation</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Area deprivation</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6D5698">
            <w:pPr>
              <w:rPr>
                <w:rFonts w:ascii="Arial" w:hAnsi="Arial" w:cs="Arial"/>
              </w:rPr>
            </w:pPr>
            <w:r w:rsidRPr="00675C29">
              <w:rPr>
                <w:rFonts w:ascii="Arial" w:hAnsi="Arial" w:cs="Arial"/>
              </w:rPr>
              <w:t>Socio-economic background</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93189F">
            <w:pPr>
              <w:rPr>
                <w:rFonts w:ascii="Arial" w:hAnsi="Arial" w:cs="Arial"/>
              </w:rPr>
            </w:pPr>
            <w:r w:rsidRPr="00675C29">
              <w:rPr>
                <w:rFonts w:ascii="Arial" w:hAnsi="Arial" w:cs="Arial"/>
              </w:rPr>
              <w:t>Communities of place</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r w:rsidR="003F7B21" w:rsidRPr="00675C29" w:rsidTr="003F7B21">
        <w:tc>
          <w:tcPr>
            <w:tcW w:w="3397" w:type="dxa"/>
          </w:tcPr>
          <w:p w:rsidR="003F7B21" w:rsidRPr="00675C29" w:rsidRDefault="003F7B21" w:rsidP="0093189F">
            <w:pPr>
              <w:rPr>
                <w:rFonts w:ascii="Arial" w:hAnsi="Arial" w:cs="Arial"/>
              </w:rPr>
            </w:pPr>
            <w:r w:rsidRPr="00675C29">
              <w:rPr>
                <w:rFonts w:ascii="Arial" w:hAnsi="Arial" w:cs="Arial"/>
              </w:rPr>
              <w:t>Communities of interest</w:t>
            </w:r>
          </w:p>
        </w:tc>
        <w:tc>
          <w:tcPr>
            <w:tcW w:w="1418" w:type="dxa"/>
          </w:tcPr>
          <w:p w:rsidR="003F7B21" w:rsidRPr="00675C29" w:rsidRDefault="003F7B21" w:rsidP="006D5698">
            <w:pPr>
              <w:rPr>
                <w:rFonts w:ascii="Arial" w:hAnsi="Arial" w:cs="Arial"/>
              </w:rPr>
            </w:pPr>
          </w:p>
        </w:tc>
        <w:tc>
          <w:tcPr>
            <w:tcW w:w="1701" w:type="dxa"/>
          </w:tcPr>
          <w:p w:rsidR="003F7B21" w:rsidRPr="00675C29" w:rsidRDefault="009D6F9D" w:rsidP="006D5698">
            <w:pPr>
              <w:rPr>
                <w:rFonts w:ascii="Arial" w:hAnsi="Arial" w:cs="Arial"/>
              </w:rPr>
            </w:pPr>
            <w:r>
              <w:rPr>
                <w:rFonts w:ascii="Arial" w:hAnsi="Arial" w:cs="Arial"/>
              </w:rPr>
              <w:t>√</w:t>
            </w:r>
          </w:p>
        </w:tc>
        <w:tc>
          <w:tcPr>
            <w:tcW w:w="1276" w:type="dxa"/>
          </w:tcPr>
          <w:p w:rsidR="003F7B21" w:rsidRPr="00675C29" w:rsidRDefault="003F7B21" w:rsidP="006D5698">
            <w:pPr>
              <w:rPr>
                <w:rFonts w:ascii="Arial" w:hAnsi="Arial" w:cs="Arial"/>
              </w:rPr>
            </w:pPr>
          </w:p>
        </w:tc>
        <w:tc>
          <w:tcPr>
            <w:tcW w:w="1559" w:type="dxa"/>
          </w:tcPr>
          <w:p w:rsidR="003F7B21" w:rsidRPr="00675C29" w:rsidRDefault="003F7B21" w:rsidP="006D5698">
            <w:pPr>
              <w:rPr>
                <w:rFonts w:ascii="Arial" w:hAnsi="Arial" w:cs="Arial"/>
              </w:rPr>
            </w:pPr>
          </w:p>
        </w:tc>
      </w:tr>
    </w:tbl>
    <w:p w:rsidR="00B62FC1" w:rsidRPr="00675C29" w:rsidRDefault="00B62FC1" w:rsidP="00B62FC1">
      <w:pPr>
        <w:rPr>
          <w:rFonts w:ascii="Arial" w:hAnsi="Arial" w:cs="Arial"/>
        </w:rPr>
      </w:pPr>
    </w:p>
    <w:tbl>
      <w:tblPr>
        <w:tblStyle w:val="TableGrid"/>
        <w:tblW w:w="9351" w:type="dxa"/>
        <w:tblLook w:val="04A0" w:firstRow="1" w:lastRow="0" w:firstColumn="1" w:lastColumn="0" w:noHBand="0" w:noVBand="1"/>
      </w:tblPr>
      <w:tblGrid>
        <w:gridCol w:w="9351"/>
      </w:tblGrid>
      <w:tr w:rsidR="00B62FC1" w:rsidTr="00C158B2">
        <w:tc>
          <w:tcPr>
            <w:tcW w:w="9351" w:type="dxa"/>
          </w:tcPr>
          <w:p w:rsidR="00B62FC1" w:rsidRPr="00110158" w:rsidRDefault="00392747" w:rsidP="00D03F99">
            <w:pPr>
              <w:rPr>
                <w:rFonts w:ascii="Arial" w:hAnsi="Arial" w:cs="Arial"/>
                <w:b/>
              </w:rPr>
            </w:pPr>
            <w:r>
              <w:rPr>
                <w:rFonts w:ascii="Arial" w:hAnsi="Arial" w:cs="Arial"/>
                <w:b/>
              </w:rPr>
              <w:t xml:space="preserve">If any ‘don’t </w:t>
            </w:r>
            <w:r w:rsidR="00125EEC">
              <w:rPr>
                <w:rFonts w:ascii="Arial" w:hAnsi="Arial" w:cs="Arial"/>
                <w:b/>
              </w:rPr>
              <w:t>knows</w:t>
            </w:r>
            <w:r>
              <w:rPr>
                <w:rFonts w:ascii="Arial" w:hAnsi="Arial" w:cs="Arial"/>
                <w:b/>
              </w:rPr>
              <w:t xml:space="preserve"> have been identified, at what point will impacts on these groups become identifiable?</w:t>
            </w:r>
          </w:p>
        </w:tc>
      </w:tr>
      <w:tr w:rsidR="00B62FC1" w:rsidTr="00C158B2">
        <w:tc>
          <w:tcPr>
            <w:tcW w:w="9351" w:type="dxa"/>
          </w:tcPr>
          <w:p w:rsidR="00D03F99" w:rsidRDefault="009D6F9D" w:rsidP="006D5698">
            <w:pPr>
              <w:rPr>
                <w:rFonts w:ascii="Arial" w:hAnsi="Arial" w:cs="Arial"/>
              </w:rPr>
            </w:pPr>
            <w:r>
              <w:rPr>
                <w:rFonts w:ascii="Arial" w:hAnsi="Arial" w:cs="Arial"/>
              </w:rPr>
              <w:t>N/A</w:t>
            </w:r>
          </w:p>
          <w:p w:rsidR="00CB79BC" w:rsidRPr="00CB79BC" w:rsidRDefault="00CB79BC" w:rsidP="006D5698">
            <w:pPr>
              <w:rPr>
                <w:rFonts w:ascii="Arial" w:hAnsi="Arial" w:cs="Arial"/>
              </w:rPr>
            </w:pPr>
          </w:p>
        </w:tc>
      </w:tr>
    </w:tbl>
    <w:p w:rsidR="00B62FC1" w:rsidRPr="00675C29" w:rsidRDefault="00B62FC1" w:rsidP="00B62FC1">
      <w:pPr>
        <w:rPr>
          <w:rFonts w:ascii="Arial" w:hAnsi="Arial" w:cs="Arial"/>
        </w:rPr>
      </w:pPr>
    </w:p>
    <w:tbl>
      <w:tblPr>
        <w:tblStyle w:val="TableGrid"/>
        <w:tblW w:w="9351" w:type="dxa"/>
        <w:tblLook w:val="04A0" w:firstRow="1" w:lastRow="0" w:firstColumn="1" w:lastColumn="0" w:noHBand="0" w:noVBand="1"/>
      </w:tblPr>
      <w:tblGrid>
        <w:gridCol w:w="9351"/>
      </w:tblGrid>
      <w:tr w:rsidR="00B62FC1" w:rsidRPr="00675C29" w:rsidTr="00C158B2">
        <w:tc>
          <w:tcPr>
            <w:tcW w:w="9351" w:type="dxa"/>
          </w:tcPr>
          <w:p w:rsidR="00B62FC1" w:rsidRPr="00110158" w:rsidRDefault="00392747" w:rsidP="00471C4C">
            <w:pPr>
              <w:rPr>
                <w:rFonts w:ascii="Arial" w:hAnsi="Arial" w:cs="Arial"/>
                <w:b/>
              </w:rPr>
            </w:pPr>
            <w:r>
              <w:rPr>
                <w:rFonts w:ascii="Arial" w:hAnsi="Arial" w:cs="Arial"/>
                <w:b/>
              </w:rPr>
              <w:t>How has ‘due regard’ been given to any negative impacts</w:t>
            </w:r>
            <w:r w:rsidR="00471C4C">
              <w:rPr>
                <w:rFonts w:ascii="Arial" w:hAnsi="Arial" w:cs="Arial"/>
                <w:b/>
              </w:rPr>
              <w:t xml:space="preserve"> that have been identified</w:t>
            </w:r>
            <w:r>
              <w:rPr>
                <w:rFonts w:ascii="Arial" w:hAnsi="Arial" w:cs="Arial"/>
                <w:b/>
              </w:rPr>
              <w:t>?</w:t>
            </w:r>
          </w:p>
        </w:tc>
      </w:tr>
      <w:tr w:rsidR="00B62FC1" w:rsidRPr="00675C29" w:rsidTr="00C158B2">
        <w:tc>
          <w:tcPr>
            <w:tcW w:w="9351" w:type="dxa"/>
          </w:tcPr>
          <w:p w:rsidR="00B62FC1" w:rsidRPr="00CB79BC" w:rsidRDefault="009D6F9D" w:rsidP="00392747">
            <w:pPr>
              <w:rPr>
                <w:rFonts w:ascii="Arial" w:hAnsi="Arial" w:cs="Arial"/>
              </w:rPr>
            </w:pPr>
            <w:r>
              <w:rPr>
                <w:rFonts w:ascii="Arial" w:hAnsi="Arial" w:cs="Arial"/>
              </w:rPr>
              <w:t>N/A</w:t>
            </w:r>
          </w:p>
          <w:p w:rsidR="00CB79BC" w:rsidRPr="00CB79BC" w:rsidRDefault="00CB79BC" w:rsidP="00392747">
            <w:pPr>
              <w:rPr>
                <w:rFonts w:ascii="Arial" w:hAnsi="Arial" w:cs="Arial"/>
              </w:rPr>
            </w:pP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4: Interdependencies</w:t>
      </w:r>
    </w:p>
    <w:p w:rsidR="00CB79BC" w:rsidRDefault="00CB79BC" w:rsidP="00B62FC1">
      <w:pPr>
        <w:jc w:val="center"/>
        <w:rPr>
          <w:rFonts w:ascii="Arial" w:hAnsi="Arial" w:cs="Arial"/>
          <w:b/>
          <w:color w:val="0070C0"/>
        </w:rPr>
      </w:pPr>
    </w:p>
    <w:tbl>
      <w:tblPr>
        <w:tblStyle w:val="TableGrid"/>
        <w:tblW w:w="9351" w:type="dxa"/>
        <w:tblLook w:val="04A0" w:firstRow="1" w:lastRow="0" w:firstColumn="1" w:lastColumn="0" w:noHBand="0" w:noVBand="1"/>
      </w:tblPr>
      <w:tblGrid>
        <w:gridCol w:w="4957"/>
        <w:gridCol w:w="4394"/>
      </w:tblGrid>
      <w:tr w:rsidR="00B62FC1" w:rsidTr="00CB79BC">
        <w:tc>
          <w:tcPr>
            <w:tcW w:w="4957" w:type="dxa"/>
          </w:tcPr>
          <w:p w:rsidR="00B62FC1" w:rsidRDefault="00B62FC1" w:rsidP="006D5698">
            <w:pPr>
              <w:rPr>
                <w:rFonts w:ascii="Arial" w:hAnsi="Arial" w:cs="Arial"/>
                <w:b/>
              </w:rPr>
            </w:pPr>
            <w:r w:rsidRPr="00110158">
              <w:rPr>
                <w:rFonts w:ascii="Arial" w:hAnsi="Arial" w:cs="Arial"/>
                <w:b/>
              </w:rPr>
              <w:t>Is this p</w:t>
            </w:r>
            <w:r w:rsidR="00D03F99">
              <w:rPr>
                <w:rFonts w:ascii="Arial" w:hAnsi="Arial" w:cs="Arial"/>
                <w:b/>
              </w:rPr>
              <w:t xml:space="preserve">roposal </w:t>
            </w:r>
            <w:r w:rsidRPr="00110158">
              <w:rPr>
                <w:rFonts w:ascii="Arial" w:hAnsi="Arial" w:cs="Arial"/>
                <w:b/>
              </w:rPr>
              <w:t>likely to have any knock-on effects for</w:t>
            </w:r>
            <w:r>
              <w:rPr>
                <w:rFonts w:ascii="Arial" w:hAnsi="Arial" w:cs="Arial"/>
                <w:b/>
              </w:rPr>
              <w:t xml:space="preserve"> </w:t>
            </w:r>
            <w:r w:rsidRPr="00110158">
              <w:rPr>
                <w:rFonts w:ascii="Arial" w:hAnsi="Arial" w:cs="Arial"/>
                <w:b/>
              </w:rPr>
              <w:t>any</w:t>
            </w:r>
            <w:r>
              <w:rPr>
                <w:rFonts w:ascii="Arial" w:hAnsi="Arial" w:cs="Arial"/>
                <w:b/>
              </w:rPr>
              <w:t xml:space="preserve"> </w:t>
            </w:r>
            <w:r w:rsidR="00D03F99">
              <w:rPr>
                <w:rFonts w:ascii="Arial" w:hAnsi="Arial" w:cs="Arial"/>
                <w:b/>
              </w:rPr>
              <w:t xml:space="preserve">other </w:t>
            </w:r>
            <w:r w:rsidRPr="00110158">
              <w:rPr>
                <w:rFonts w:ascii="Arial" w:hAnsi="Arial" w:cs="Arial"/>
                <w:b/>
              </w:rPr>
              <w:t xml:space="preserve">activities </w:t>
            </w:r>
            <w:r w:rsidR="00D03F99">
              <w:rPr>
                <w:rFonts w:ascii="Arial" w:hAnsi="Arial" w:cs="Arial"/>
                <w:b/>
              </w:rPr>
              <w:t xml:space="preserve">carried out by or on behalf </w:t>
            </w:r>
            <w:r w:rsidR="00CE7A59">
              <w:rPr>
                <w:rFonts w:ascii="Arial" w:hAnsi="Arial" w:cs="Arial"/>
                <w:b/>
              </w:rPr>
              <w:t>of the HSCP</w:t>
            </w:r>
            <w:r w:rsidR="00C158B2">
              <w:rPr>
                <w:rFonts w:ascii="Arial" w:hAnsi="Arial" w:cs="Arial"/>
                <w:b/>
              </w:rPr>
              <w:t>?</w:t>
            </w:r>
          </w:p>
        </w:tc>
        <w:tc>
          <w:tcPr>
            <w:tcW w:w="4394" w:type="dxa"/>
          </w:tcPr>
          <w:p w:rsidR="00B62FC1" w:rsidRPr="00CB79BC" w:rsidRDefault="007A2B97" w:rsidP="006D5698">
            <w:pPr>
              <w:rPr>
                <w:rFonts w:ascii="Arial" w:hAnsi="Arial" w:cs="Arial"/>
              </w:rPr>
            </w:pPr>
            <w:r>
              <w:rPr>
                <w:rFonts w:ascii="Arial" w:hAnsi="Arial" w:cs="Arial"/>
              </w:rPr>
              <w:t>Minimal</w:t>
            </w:r>
            <w:r w:rsidR="00FA4236">
              <w:rPr>
                <w:rFonts w:ascii="Arial" w:hAnsi="Arial" w:cs="Arial"/>
              </w:rPr>
              <w:t>.  For other localities, patients do not have the option of choosing a preferred transport option – i.e. flight or ferry.</w:t>
            </w:r>
          </w:p>
        </w:tc>
      </w:tr>
    </w:tbl>
    <w:p w:rsidR="00B62FC1" w:rsidRDefault="00B62FC1" w:rsidP="00B62FC1">
      <w:pPr>
        <w:rPr>
          <w:rFonts w:ascii="Arial" w:hAnsi="Arial" w:cs="Arial"/>
          <w:b/>
        </w:rPr>
      </w:pPr>
    </w:p>
    <w:tbl>
      <w:tblPr>
        <w:tblStyle w:val="TableGrid"/>
        <w:tblW w:w="9351" w:type="dxa"/>
        <w:tblLook w:val="04A0" w:firstRow="1" w:lastRow="0" w:firstColumn="1" w:lastColumn="0" w:noHBand="0" w:noVBand="1"/>
      </w:tblPr>
      <w:tblGrid>
        <w:gridCol w:w="9351"/>
      </w:tblGrid>
      <w:tr w:rsidR="00B62FC1" w:rsidRPr="00675C29" w:rsidTr="00CB79BC">
        <w:tc>
          <w:tcPr>
            <w:tcW w:w="9351" w:type="dxa"/>
          </w:tcPr>
          <w:p w:rsidR="00B62FC1" w:rsidRPr="005D74E5" w:rsidRDefault="00144B0D" w:rsidP="00144B0D">
            <w:pPr>
              <w:rPr>
                <w:rFonts w:ascii="Arial" w:hAnsi="Arial" w:cs="Arial"/>
                <w:b/>
              </w:rPr>
            </w:pPr>
            <w:r>
              <w:rPr>
                <w:rFonts w:ascii="Arial" w:hAnsi="Arial" w:cs="Arial"/>
                <w:b/>
              </w:rPr>
              <w:t>Details of knock-on effects identified</w:t>
            </w:r>
          </w:p>
        </w:tc>
      </w:tr>
      <w:tr w:rsidR="00B62FC1" w:rsidRPr="00675C29" w:rsidTr="00CB79BC">
        <w:tc>
          <w:tcPr>
            <w:tcW w:w="9351" w:type="dxa"/>
          </w:tcPr>
          <w:p w:rsidR="00CB79BC" w:rsidRPr="00675C29" w:rsidRDefault="00FA4236" w:rsidP="00FA4236">
            <w:pPr>
              <w:rPr>
                <w:rFonts w:ascii="Arial" w:hAnsi="Arial" w:cs="Arial"/>
              </w:rPr>
            </w:pPr>
            <w:r>
              <w:rPr>
                <w:rFonts w:ascii="Arial" w:hAnsi="Arial" w:cs="Arial"/>
              </w:rPr>
              <w:t>N/A</w:t>
            </w:r>
          </w:p>
        </w:tc>
      </w:tr>
    </w:tbl>
    <w:p w:rsidR="00B62FC1" w:rsidRPr="00675C29" w:rsidRDefault="00B62FC1" w:rsidP="00B62FC1">
      <w:pPr>
        <w:rPr>
          <w:rFonts w:ascii="Arial" w:hAnsi="Arial" w:cs="Arial"/>
        </w:rPr>
      </w:pPr>
    </w:p>
    <w:p w:rsidR="00B62FC1" w:rsidRDefault="00B62FC1" w:rsidP="00B62FC1">
      <w:pPr>
        <w:jc w:val="center"/>
        <w:rPr>
          <w:rFonts w:ascii="Arial" w:hAnsi="Arial" w:cs="Arial"/>
          <w:b/>
          <w:color w:val="0070C0"/>
        </w:rPr>
      </w:pPr>
      <w:r w:rsidRPr="00B62FC1">
        <w:rPr>
          <w:rFonts w:ascii="Arial" w:hAnsi="Arial" w:cs="Arial"/>
          <w:b/>
          <w:color w:val="0070C0"/>
        </w:rPr>
        <w:t>Section 5: Monitoring and review</w:t>
      </w:r>
    </w:p>
    <w:p w:rsidR="00CB79BC" w:rsidRDefault="00CB79BC" w:rsidP="00B62FC1">
      <w:pPr>
        <w:jc w:val="center"/>
        <w:rPr>
          <w:rFonts w:ascii="Arial" w:hAnsi="Arial" w:cs="Arial"/>
          <w:b/>
          <w:color w:val="0070C0"/>
        </w:rPr>
      </w:pPr>
    </w:p>
    <w:tbl>
      <w:tblPr>
        <w:tblStyle w:val="TableGrid"/>
        <w:tblW w:w="9351" w:type="dxa"/>
        <w:tblLook w:val="04A0" w:firstRow="1" w:lastRow="0" w:firstColumn="1" w:lastColumn="0" w:noHBand="0" w:noVBand="1"/>
      </w:tblPr>
      <w:tblGrid>
        <w:gridCol w:w="9351"/>
      </w:tblGrid>
      <w:tr w:rsidR="00B62FC1" w:rsidRPr="00675C29" w:rsidTr="00C158B2">
        <w:tc>
          <w:tcPr>
            <w:tcW w:w="9351" w:type="dxa"/>
          </w:tcPr>
          <w:p w:rsidR="00B62FC1" w:rsidRPr="00144B0D" w:rsidRDefault="00392747" w:rsidP="006D5698">
            <w:pPr>
              <w:rPr>
                <w:rFonts w:ascii="Arial" w:hAnsi="Arial" w:cs="Arial"/>
                <w:b/>
              </w:rPr>
            </w:pPr>
            <w:r w:rsidRPr="00144B0D">
              <w:rPr>
                <w:rFonts w:ascii="Arial" w:hAnsi="Arial" w:cs="Arial"/>
                <w:b/>
              </w:rPr>
              <w:t>Monitoring and review</w:t>
            </w:r>
          </w:p>
        </w:tc>
      </w:tr>
      <w:tr w:rsidR="00B62FC1" w:rsidRPr="00675C29" w:rsidTr="00C158B2">
        <w:tc>
          <w:tcPr>
            <w:tcW w:w="9351" w:type="dxa"/>
          </w:tcPr>
          <w:p w:rsidR="00D03F99" w:rsidRPr="00CB79BC" w:rsidRDefault="009D6F9D" w:rsidP="00C158B2">
            <w:pPr>
              <w:rPr>
                <w:rFonts w:ascii="Arial" w:hAnsi="Arial" w:cs="Arial"/>
              </w:rPr>
            </w:pPr>
            <w:r>
              <w:rPr>
                <w:rFonts w:ascii="Arial" w:hAnsi="Arial" w:cs="Arial"/>
              </w:rPr>
              <w:t>Escort criteria will continue to be reviewed</w:t>
            </w:r>
            <w:r w:rsidR="007A2B97">
              <w:rPr>
                <w:rFonts w:ascii="Arial" w:hAnsi="Arial" w:cs="Arial"/>
              </w:rPr>
              <w:t>, and updated,</w:t>
            </w:r>
            <w:r>
              <w:rPr>
                <w:rFonts w:ascii="Arial" w:hAnsi="Arial" w:cs="Arial"/>
              </w:rPr>
              <w:t xml:space="preserve"> each quarter based on service user and service deli</w:t>
            </w:r>
            <w:r w:rsidR="007A2B97">
              <w:rPr>
                <w:rFonts w:ascii="Arial" w:hAnsi="Arial" w:cs="Arial"/>
              </w:rPr>
              <w:t>verer feedback.</w:t>
            </w:r>
          </w:p>
          <w:p w:rsidR="00CB79BC" w:rsidRPr="00CB79BC" w:rsidRDefault="00CB79BC" w:rsidP="00C158B2">
            <w:pPr>
              <w:rPr>
                <w:rFonts w:ascii="Arial" w:hAnsi="Arial" w:cs="Arial"/>
              </w:rPr>
            </w:pPr>
          </w:p>
        </w:tc>
      </w:tr>
    </w:tbl>
    <w:p w:rsidR="000B0245" w:rsidRPr="006360FA" w:rsidRDefault="000B0245" w:rsidP="006360FA"/>
    <w:sectPr w:rsidR="000B0245" w:rsidRPr="006360FA" w:rsidSect="006360FA">
      <w:footerReference w:type="default" r:id="rId9"/>
      <w:pgSz w:w="11907" w:h="16839" w:code="9"/>
      <w:pgMar w:top="567" w:right="1440" w:bottom="28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76" w:rsidRDefault="00111076" w:rsidP="00E51AD6">
      <w:r>
        <w:separator/>
      </w:r>
    </w:p>
  </w:endnote>
  <w:endnote w:type="continuationSeparator" w:id="0">
    <w:p w:rsidR="00111076" w:rsidRDefault="00111076" w:rsidP="00E5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BC" w:rsidRDefault="00CB79BC">
    <w:pPr>
      <w:pStyle w:val="Footer"/>
    </w:pPr>
    <w:r>
      <w:t>Version July 2019, to be reviewed 2022</w:t>
    </w:r>
  </w:p>
  <w:p w:rsidR="00CB79BC" w:rsidRDefault="00CB7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76" w:rsidRDefault="00111076" w:rsidP="00E51AD6">
      <w:r>
        <w:separator/>
      </w:r>
    </w:p>
  </w:footnote>
  <w:footnote w:type="continuationSeparator" w:id="0">
    <w:p w:rsidR="00111076" w:rsidRDefault="00111076" w:rsidP="00E51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031"/>
    <w:multiLevelType w:val="hybridMultilevel"/>
    <w:tmpl w:val="F7FAE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D4907"/>
    <w:multiLevelType w:val="hybridMultilevel"/>
    <w:tmpl w:val="BFFA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F03C0"/>
    <w:multiLevelType w:val="hybridMultilevel"/>
    <w:tmpl w:val="3B2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E09D1"/>
    <w:multiLevelType w:val="hybridMultilevel"/>
    <w:tmpl w:val="6B3EB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C23F4"/>
    <w:multiLevelType w:val="hybridMultilevel"/>
    <w:tmpl w:val="0FB2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66296"/>
    <w:multiLevelType w:val="multilevel"/>
    <w:tmpl w:val="BDA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F78A3"/>
    <w:multiLevelType w:val="hybridMultilevel"/>
    <w:tmpl w:val="A30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A56C2"/>
    <w:multiLevelType w:val="hybridMultilevel"/>
    <w:tmpl w:val="44B6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06C60"/>
    <w:multiLevelType w:val="hybridMultilevel"/>
    <w:tmpl w:val="E64C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37B2E"/>
    <w:multiLevelType w:val="hybridMultilevel"/>
    <w:tmpl w:val="D244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62013"/>
    <w:multiLevelType w:val="hybridMultilevel"/>
    <w:tmpl w:val="66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224E9"/>
    <w:multiLevelType w:val="multilevel"/>
    <w:tmpl w:val="771A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C5A29"/>
    <w:multiLevelType w:val="hybridMultilevel"/>
    <w:tmpl w:val="D158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50E17"/>
    <w:multiLevelType w:val="hybridMultilevel"/>
    <w:tmpl w:val="928A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76284"/>
    <w:multiLevelType w:val="hybridMultilevel"/>
    <w:tmpl w:val="38AC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5A9"/>
    <w:multiLevelType w:val="hybridMultilevel"/>
    <w:tmpl w:val="A6D8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C56FB"/>
    <w:multiLevelType w:val="hybridMultilevel"/>
    <w:tmpl w:val="5A9E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D2063"/>
    <w:multiLevelType w:val="hybridMultilevel"/>
    <w:tmpl w:val="6A40A0BA"/>
    <w:lvl w:ilvl="0" w:tplc="99E69A2E">
      <w:start w:val="1"/>
      <w:numFmt w:val="bullet"/>
      <w:lvlText w:val="•"/>
      <w:lvlJc w:val="left"/>
      <w:pPr>
        <w:tabs>
          <w:tab w:val="num" w:pos="720"/>
        </w:tabs>
        <w:ind w:left="720" w:hanging="360"/>
      </w:pPr>
      <w:rPr>
        <w:rFonts w:ascii="Times New Roman" w:hAnsi="Times New Roman" w:hint="default"/>
      </w:rPr>
    </w:lvl>
    <w:lvl w:ilvl="1" w:tplc="6ACA3122" w:tentative="1">
      <w:start w:val="1"/>
      <w:numFmt w:val="bullet"/>
      <w:lvlText w:val="•"/>
      <w:lvlJc w:val="left"/>
      <w:pPr>
        <w:tabs>
          <w:tab w:val="num" w:pos="1440"/>
        </w:tabs>
        <w:ind w:left="1440" w:hanging="360"/>
      </w:pPr>
      <w:rPr>
        <w:rFonts w:ascii="Times New Roman" w:hAnsi="Times New Roman" w:hint="default"/>
      </w:rPr>
    </w:lvl>
    <w:lvl w:ilvl="2" w:tplc="47D29126" w:tentative="1">
      <w:start w:val="1"/>
      <w:numFmt w:val="bullet"/>
      <w:lvlText w:val="•"/>
      <w:lvlJc w:val="left"/>
      <w:pPr>
        <w:tabs>
          <w:tab w:val="num" w:pos="2160"/>
        </w:tabs>
        <w:ind w:left="2160" w:hanging="360"/>
      </w:pPr>
      <w:rPr>
        <w:rFonts w:ascii="Times New Roman" w:hAnsi="Times New Roman" w:hint="default"/>
      </w:rPr>
    </w:lvl>
    <w:lvl w:ilvl="3" w:tplc="E39C6170" w:tentative="1">
      <w:start w:val="1"/>
      <w:numFmt w:val="bullet"/>
      <w:lvlText w:val="•"/>
      <w:lvlJc w:val="left"/>
      <w:pPr>
        <w:tabs>
          <w:tab w:val="num" w:pos="2880"/>
        </w:tabs>
        <w:ind w:left="2880" w:hanging="360"/>
      </w:pPr>
      <w:rPr>
        <w:rFonts w:ascii="Times New Roman" w:hAnsi="Times New Roman" w:hint="default"/>
      </w:rPr>
    </w:lvl>
    <w:lvl w:ilvl="4" w:tplc="6FE0416A" w:tentative="1">
      <w:start w:val="1"/>
      <w:numFmt w:val="bullet"/>
      <w:lvlText w:val="•"/>
      <w:lvlJc w:val="left"/>
      <w:pPr>
        <w:tabs>
          <w:tab w:val="num" w:pos="3600"/>
        </w:tabs>
        <w:ind w:left="3600" w:hanging="360"/>
      </w:pPr>
      <w:rPr>
        <w:rFonts w:ascii="Times New Roman" w:hAnsi="Times New Roman" w:hint="default"/>
      </w:rPr>
    </w:lvl>
    <w:lvl w:ilvl="5" w:tplc="F124B156" w:tentative="1">
      <w:start w:val="1"/>
      <w:numFmt w:val="bullet"/>
      <w:lvlText w:val="•"/>
      <w:lvlJc w:val="left"/>
      <w:pPr>
        <w:tabs>
          <w:tab w:val="num" w:pos="4320"/>
        </w:tabs>
        <w:ind w:left="4320" w:hanging="360"/>
      </w:pPr>
      <w:rPr>
        <w:rFonts w:ascii="Times New Roman" w:hAnsi="Times New Roman" w:hint="default"/>
      </w:rPr>
    </w:lvl>
    <w:lvl w:ilvl="6" w:tplc="D50CBD8A" w:tentative="1">
      <w:start w:val="1"/>
      <w:numFmt w:val="bullet"/>
      <w:lvlText w:val="•"/>
      <w:lvlJc w:val="left"/>
      <w:pPr>
        <w:tabs>
          <w:tab w:val="num" w:pos="5040"/>
        </w:tabs>
        <w:ind w:left="5040" w:hanging="360"/>
      </w:pPr>
      <w:rPr>
        <w:rFonts w:ascii="Times New Roman" w:hAnsi="Times New Roman" w:hint="default"/>
      </w:rPr>
    </w:lvl>
    <w:lvl w:ilvl="7" w:tplc="122A59B8" w:tentative="1">
      <w:start w:val="1"/>
      <w:numFmt w:val="bullet"/>
      <w:lvlText w:val="•"/>
      <w:lvlJc w:val="left"/>
      <w:pPr>
        <w:tabs>
          <w:tab w:val="num" w:pos="5760"/>
        </w:tabs>
        <w:ind w:left="5760" w:hanging="360"/>
      </w:pPr>
      <w:rPr>
        <w:rFonts w:ascii="Times New Roman" w:hAnsi="Times New Roman" w:hint="default"/>
      </w:rPr>
    </w:lvl>
    <w:lvl w:ilvl="8" w:tplc="80E4098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5AA7E1F"/>
    <w:multiLevelType w:val="hybridMultilevel"/>
    <w:tmpl w:val="61EE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74E4E"/>
    <w:multiLevelType w:val="hybridMultilevel"/>
    <w:tmpl w:val="87EC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55FBF"/>
    <w:multiLevelType w:val="hybridMultilevel"/>
    <w:tmpl w:val="BAAE55F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156A50"/>
    <w:multiLevelType w:val="hybridMultilevel"/>
    <w:tmpl w:val="95A4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A3B3D"/>
    <w:multiLevelType w:val="hybridMultilevel"/>
    <w:tmpl w:val="6044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36D73"/>
    <w:multiLevelType w:val="hybridMultilevel"/>
    <w:tmpl w:val="8162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F6BEF"/>
    <w:multiLevelType w:val="hybridMultilevel"/>
    <w:tmpl w:val="0D9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D69C7"/>
    <w:multiLevelType w:val="hybridMultilevel"/>
    <w:tmpl w:val="674E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723A85"/>
    <w:multiLevelType w:val="hybridMultilevel"/>
    <w:tmpl w:val="567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4FDB"/>
    <w:multiLevelType w:val="hybridMultilevel"/>
    <w:tmpl w:val="BAAE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2"/>
  </w:num>
  <w:num w:numId="4">
    <w:abstractNumId w:val="7"/>
  </w:num>
  <w:num w:numId="5">
    <w:abstractNumId w:val="13"/>
  </w:num>
  <w:num w:numId="6">
    <w:abstractNumId w:val="12"/>
  </w:num>
  <w:num w:numId="7">
    <w:abstractNumId w:val="1"/>
  </w:num>
  <w:num w:numId="8">
    <w:abstractNumId w:val="15"/>
  </w:num>
  <w:num w:numId="9">
    <w:abstractNumId w:val="4"/>
  </w:num>
  <w:num w:numId="10">
    <w:abstractNumId w:val="26"/>
  </w:num>
  <w:num w:numId="11">
    <w:abstractNumId w:val="18"/>
  </w:num>
  <w:num w:numId="12">
    <w:abstractNumId w:val="6"/>
  </w:num>
  <w:num w:numId="13">
    <w:abstractNumId w:val="24"/>
  </w:num>
  <w:num w:numId="14">
    <w:abstractNumId w:val="14"/>
  </w:num>
  <w:num w:numId="15">
    <w:abstractNumId w:val="9"/>
  </w:num>
  <w:num w:numId="16">
    <w:abstractNumId w:val="21"/>
  </w:num>
  <w:num w:numId="17">
    <w:abstractNumId w:val="3"/>
  </w:num>
  <w:num w:numId="18">
    <w:abstractNumId w:val="17"/>
  </w:num>
  <w:num w:numId="19">
    <w:abstractNumId w:val="11"/>
  </w:num>
  <w:num w:numId="20">
    <w:abstractNumId w:val="0"/>
  </w:num>
  <w:num w:numId="21">
    <w:abstractNumId w:val="19"/>
  </w:num>
  <w:num w:numId="22">
    <w:abstractNumId w:val="20"/>
  </w:num>
  <w:num w:numId="23">
    <w:abstractNumId w:val="2"/>
  </w:num>
  <w:num w:numId="24">
    <w:abstractNumId w:val="5"/>
  </w:num>
  <w:num w:numId="25">
    <w:abstractNumId w:val="25"/>
  </w:num>
  <w:num w:numId="26">
    <w:abstractNumId w:val="23"/>
  </w:num>
  <w:num w:numId="27">
    <w:abstractNumId w:val="16"/>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E2"/>
    <w:rsid w:val="000011F4"/>
    <w:rsid w:val="00002F80"/>
    <w:rsid w:val="0000571F"/>
    <w:rsid w:val="000079BF"/>
    <w:rsid w:val="00012751"/>
    <w:rsid w:val="00012D76"/>
    <w:rsid w:val="000279A8"/>
    <w:rsid w:val="000309BF"/>
    <w:rsid w:val="00060174"/>
    <w:rsid w:val="00062965"/>
    <w:rsid w:val="00081100"/>
    <w:rsid w:val="00085F66"/>
    <w:rsid w:val="00087B69"/>
    <w:rsid w:val="00087C6F"/>
    <w:rsid w:val="00091705"/>
    <w:rsid w:val="00097733"/>
    <w:rsid w:val="000A3235"/>
    <w:rsid w:val="000B0245"/>
    <w:rsid w:val="000B0610"/>
    <w:rsid w:val="000E6613"/>
    <w:rsid w:val="000F5F34"/>
    <w:rsid w:val="000F782D"/>
    <w:rsid w:val="001015A5"/>
    <w:rsid w:val="001022E3"/>
    <w:rsid w:val="00111076"/>
    <w:rsid w:val="00123DCB"/>
    <w:rsid w:val="001254A8"/>
    <w:rsid w:val="00125EEC"/>
    <w:rsid w:val="0012615B"/>
    <w:rsid w:val="001301F3"/>
    <w:rsid w:val="0013116C"/>
    <w:rsid w:val="00144B0D"/>
    <w:rsid w:val="001501FD"/>
    <w:rsid w:val="001545A2"/>
    <w:rsid w:val="00164675"/>
    <w:rsid w:val="00171743"/>
    <w:rsid w:val="00172BA0"/>
    <w:rsid w:val="0017311B"/>
    <w:rsid w:val="00174E71"/>
    <w:rsid w:val="00174F8B"/>
    <w:rsid w:val="00177DB4"/>
    <w:rsid w:val="00187B26"/>
    <w:rsid w:val="0019022B"/>
    <w:rsid w:val="00197250"/>
    <w:rsid w:val="001A03B8"/>
    <w:rsid w:val="001A2B11"/>
    <w:rsid w:val="001A47AA"/>
    <w:rsid w:val="001B1C62"/>
    <w:rsid w:val="001B6A24"/>
    <w:rsid w:val="001B7248"/>
    <w:rsid w:val="001B793A"/>
    <w:rsid w:val="001C29B5"/>
    <w:rsid w:val="001D30CE"/>
    <w:rsid w:val="001F5152"/>
    <w:rsid w:val="002119CC"/>
    <w:rsid w:val="002156C3"/>
    <w:rsid w:val="00215A73"/>
    <w:rsid w:val="0021691A"/>
    <w:rsid w:val="00240975"/>
    <w:rsid w:val="00251D2D"/>
    <w:rsid w:val="00252D5E"/>
    <w:rsid w:val="0027462C"/>
    <w:rsid w:val="002775AF"/>
    <w:rsid w:val="002848C9"/>
    <w:rsid w:val="002A1A45"/>
    <w:rsid w:val="002B0B68"/>
    <w:rsid w:val="002B0DED"/>
    <w:rsid w:val="002B0EAA"/>
    <w:rsid w:val="002B1F81"/>
    <w:rsid w:val="002C1492"/>
    <w:rsid w:val="002C4315"/>
    <w:rsid w:val="002D3732"/>
    <w:rsid w:val="002E537C"/>
    <w:rsid w:val="002E7BE9"/>
    <w:rsid w:val="002F073E"/>
    <w:rsid w:val="002F1132"/>
    <w:rsid w:val="002F6CE4"/>
    <w:rsid w:val="0030392A"/>
    <w:rsid w:val="00307164"/>
    <w:rsid w:val="003144F1"/>
    <w:rsid w:val="003308DD"/>
    <w:rsid w:val="00331C39"/>
    <w:rsid w:val="00336B5E"/>
    <w:rsid w:val="00344439"/>
    <w:rsid w:val="0034768E"/>
    <w:rsid w:val="00355589"/>
    <w:rsid w:val="00360C73"/>
    <w:rsid w:val="00382A15"/>
    <w:rsid w:val="00384C73"/>
    <w:rsid w:val="00390104"/>
    <w:rsid w:val="00392747"/>
    <w:rsid w:val="003B3B62"/>
    <w:rsid w:val="003C55FC"/>
    <w:rsid w:val="003E2DCC"/>
    <w:rsid w:val="003E62D9"/>
    <w:rsid w:val="003F7B21"/>
    <w:rsid w:val="00401A8C"/>
    <w:rsid w:val="004102C0"/>
    <w:rsid w:val="0041128C"/>
    <w:rsid w:val="0041644A"/>
    <w:rsid w:val="00424A96"/>
    <w:rsid w:val="00433226"/>
    <w:rsid w:val="00434AD4"/>
    <w:rsid w:val="0043798F"/>
    <w:rsid w:val="00445E56"/>
    <w:rsid w:val="00465172"/>
    <w:rsid w:val="00465203"/>
    <w:rsid w:val="004704E4"/>
    <w:rsid w:val="00471C4C"/>
    <w:rsid w:val="00473731"/>
    <w:rsid w:val="00476AD4"/>
    <w:rsid w:val="00476DF4"/>
    <w:rsid w:val="00481822"/>
    <w:rsid w:val="004850BA"/>
    <w:rsid w:val="004971F9"/>
    <w:rsid w:val="004D0776"/>
    <w:rsid w:val="004D2B14"/>
    <w:rsid w:val="004D2CF6"/>
    <w:rsid w:val="00503C44"/>
    <w:rsid w:val="005060BE"/>
    <w:rsid w:val="00511202"/>
    <w:rsid w:val="005166F6"/>
    <w:rsid w:val="005217C9"/>
    <w:rsid w:val="00523059"/>
    <w:rsid w:val="0052383C"/>
    <w:rsid w:val="00524CAD"/>
    <w:rsid w:val="005308AB"/>
    <w:rsid w:val="00531730"/>
    <w:rsid w:val="005472E7"/>
    <w:rsid w:val="005479B4"/>
    <w:rsid w:val="005635D2"/>
    <w:rsid w:val="0056488D"/>
    <w:rsid w:val="00564E6B"/>
    <w:rsid w:val="00567293"/>
    <w:rsid w:val="00571C6C"/>
    <w:rsid w:val="005A0B08"/>
    <w:rsid w:val="005D3CED"/>
    <w:rsid w:val="005D481B"/>
    <w:rsid w:val="005D73A1"/>
    <w:rsid w:val="00615348"/>
    <w:rsid w:val="00616F85"/>
    <w:rsid w:val="00626524"/>
    <w:rsid w:val="006360FA"/>
    <w:rsid w:val="00663E06"/>
    <w:rsid w:val="006748B1"/>
    <w:rsid w:val="006850E9"/>
    <w:rsid w:val="00692065"/>
    <w:rsid w:val="006A1C33"/>
    <w:rsid w:val="006B3895"/>
    <w:rsid w:val="006B3DF1"/>
    <w:rsid w:val="006C0EFD"/>
    <w:rsid w:val="006C1529"/>
    <w:rsid w:val="006C4165"/>
    <w:rsid w:val="006C5BE4"/>
    <w:rsid w:val="006C6EB2"/>
    <w:rsid w:val="006D5698"/>
    <w:rsid w:val="006E575F"/>
    <w:rsid w:val="006E5C39"/>
    <w:rsid w:val="006F1192"/>
    <w:rsid w:val="00710926"/>
    <w:rsid w:val="007115B2"/>
    <w:rsid w:val="00712256"/>
    <w:rsid w:val="0072193F"/>
    <w:rsid w:val="00721ADB"/>
    <w:rsid w:val="0073591B"/>
    <w:rsid w:val="0073605E"/>
    <w:rsid w:val="00743370"/>
    <w:rsid w:val="00745E09"/>
    <w:rsid w:val="00746920"/>
    <w:rsid w:val="00747840"/>
    <w:rsid w:val="00752BB1"/>
    <w:rsid w:val="0075317D"/>
    <w:rsid w:val="00756A46"/>
    <w:rsid w:val="007603D9"/>
    <w:rsid w:val="00763CD1"/>
    <w:rsid w:val="0078521F"/>
    <w:rsid w:val="00787E96"/>
    <w:rsid w:val="0079270E"/>
    <w:rsid w:val="007A2B97"/>
    <w:rsid w:val="007A5D58"/>
    <w:rsid w:val="007C13C3"/>
    <w:rsid w:val="007C2666"/>
    <w:rsid w:val="007C5742"/>
    <w:rsid w:val="007E21FC"/>
    <w:rsid w:val="007E222F"/>
    <w:rsid w:val="007E4325"/>
    <w:rsid w:val="007E62D2"/>
    <w:rsid w:val="008005BD"/>
    <w:rsid w:val="008077E3"/>
    <w:rsid w:val="00814469"/>
    <w:rsid w:val="00816744"/>
    <w:rsid w:val="00840955"/>
    <w:rsid w:val="008450D0"/>
    <w:rsid w:val="00846EA6"/>
    <w:rsid w:val="008519A5"/>
    <w:rsid w:val="0086372D"/>
    <w:rsid w:val="0087155B"/>
    <w:rsid w:val="00881412"/>
    <w:rsid w:val="00887E53"/>
    <w:rsid w:val="008946EA"/>
    <w:rsid w:val="008A1A86"/>
    <w:rsid w:val="008A212E"/>
    <w:rsid w:val="008A551C"/>
    <w:rsid w:val="008B4DE0"/>
    <w:rsid w:val="008C08C5"/>
    <w:rsid w:val="008C1576"/>
    <w:rsid w:val="008C5204"/>
    <w:rsid w:val="008C745F"/>
    <w:rsid w:val="008D4B25"/>
    <w:rsid w:val="008E3AFD"/>
    <w:rsid w:val="008E52FF"/>
    <w:rsid w:val="008E5630"/>
    <w:rsid w:val="008E7D6B"/>
    <w:rsid w:val="0091045B"/>
    <w:rsid w:val="00911C41"/>
    <w:rsid w:val="009121B5"/>
    <w:rsid w:val="00916621"/>
    <w:rsid w:val="009166FA"/>
    <w:rsid w:val="0092161A"/>
    <w:rsid w:val="00926382"/>
    <w:rsid w:val="00926A8E"/>
    <w:rsid w:val="00926AD9"/>
    <w:rsid w:val="0093189F"/>
    <w:rsid w:val="00940063"/>
    <w:rsid w:val="00944728"/>
    <w:rsid w:val="009450DB"/>
    <w:rsid w:val="009472F4"/>
    <w:rsid w:val="0095564C"/>
    <w:rsid w:val="00957071"/>
    <w:rsid w:val="00960CEB"/>
    <w:rsid w:val="00961D7A"/>
    <w:rsid w:val="00962D38"/>
    <w:rsid w:val="00964CC9"/>
    <w:rsid w:val="00970C73"/>
    <w:rsid w:val="009764BE"/>
    <w:rsid w:val="00977082"/>
    <w:rsid w:val="00985C18"/>
    <w:rsid w:val="00986475"/>
    <w:rsid w:val="00994623"/>
    <w:rsid w:val="00995AC0"/>
    <w:rsid w:val="009A11E9"/>
    <w:rsid w:val="009A6668"/>
    <w:rsid w:val="009C4841"/>
    <w:rsid w:val="009C5D3C"/>
    <w:rsid w:val="009C6B97"/>
    <w:rsid w:val="009D6BC2"/>
    <w:rsid w:val="009D6F9D"/>
    <w:rsid w:val="009E17E8"/>
    <w:rsid w:val="009F21CA"/>
    <w:rsid w:val="009F2C85"/>
    <w:rsid w:val="00A133CF"/>
    <w:rsid w:val="00A1473B"/>
    <w:rsid w:val="00A1720B"/>
    <w:rsid w:val="00A21E3D"/>
    <w:rsid w:val="00A25DC3"/>
    <w:rsid w:val="00A34575"/>
    <w:rsid w:val="00A45B11"/>
    <w:rsid w:val="00A477ED"/>
    <w:rsid w:val="00A524EE"/>
    <w:rsid w:val="00A52A41"/>
    <w:rsid w:val="00A617C0"/>
    <w:rsid w:val="00A65DDF"/>
    <w:rsid w:val="00A6683F"/>
    <w:rsid w:val="00A67BEB"/>
    <w:rsid w:val="00A75E7C"/>
    <w:rsid w:val="00A81748"/>
    <w:rsid w:val="00A82383"/>
    <w:rsid w:val="00A830D8"/>
    <w:rsid w:val="00A83A67"/>
    <w:rsid w:val="00A857E5"/>
    <w:rsid w:val="00A921D0"/>
    <w:rsid w:val="00A95371"/>
    <w:rsid w:val="00AA2F6C"/>
    <w:rsid w:val="00AA6B48"/>
    <w:rsid w:val="00AB2F3D"/>
    <w:rsid w:val="00AD49AE"/>
    <w:rsid w:val="00AE2B90"/>
    <w:rsid w:val="00AF2C7C"/>
    <w:rsid w:val="00AF3921"/>
    <w:rsid w:val="00AF522B"/>
    <w:rsid w:val="00AF7136"/>
    <w:rsid w:val="00B1457A"/>
    <w:rsid w:val="00B14DBF"/>
    <w:rsid w:val="00B16B7D"/>
    <w:rsid w:val="00B27B3A"/>
    <w:rsid w:val="00B53542"/>
    <w:rsid w:val="00B61186"/>
    <w:rsid w:val="00B626CA"/>
    <w:rsid w:val="00B62FC1"/>
    <w:rsid w:val="00B67C99"/>
    <w:rsid w:val="00B75581"/>
    <w:rsid w:val="00BA1A94"/>
    <w:rsid w:val="00BA5EA9"/>
    <w:rsid w:val="00BC234E"/>
    <w:rsid w:val="00BC627A"/>
    <w:rsid w:val="00BC66A6"/>
    <w:rsid w:val="00BD04A8"/>
    <w:rsid w:val="00BD69C3"/>
    <w:rsid w:val="00BE3DCC"/>
    <w:rsid w:val="00BE5C18"/>
    <w:rsid w:val="00C03627"/>
    <w:rsid w:val="00C158B2"/>
    <w:rsid w:val="00C15E6C"/>
    <w:rsid w:val="00C2190D"/>
    <w:rsid w:val="00C263D9"/>
    <w:rsid w:val="00C41848"/>
    <w:rsid w:val="00C44904"/>
    <w:rsid w:val="00C44D46"/>
    <w:rsid w:val="00C61BB4"/>
    <w:rsid w:val="00C665CF"/>
    <w:rsid w:val="00C6794B"/>
    <w:rsid w:val="00C77FB1"/>
    <w:rsid w:val="00C81E64"/>
    <w:rsid w:val="00C8573D"/>
    <w:rsid w:val="00C87713"/>
    <w:rsid w:val="00CA057E"/>
    <w:rsid w:val="00CA0DF2"/>
    <w:rsid w:val="00CA4B63"/>
    <w:rsid w:val="00CA61AC"/>
    <w:rsid w:val="00CB79BC"/>
    <w:rsid w:val="00CE1E65"/>
    <w:rsid w:val="00CE5DCF"/>
    <w:rsid w:val="00CE6365"/>
    <w:rsid w:val="00CE7A59"/>
    <w:rsid w:val="00D03F99"/>
    <w:rsid w:val="00D16B8D"/>
    <w:rsid w:val="00D40C45"/>
    <w:rsid w:val="00D57AA1"/>
    <w:rsid w:val="00D65E47"/>
    <w:rsid w:val="00D65FC3"/>
    <w:rsid w:val="00D73823"/>
    <w:rsid w:val="00D74FFE"/>
    <w:rsid w:val="00D75DA1"/>
    <w:rsid w:val="00D861B8"/>
    <w:rsid w:val="00D95866"/>
    <w:rsid w:val="00DB5C72"/>
    <w:rsid w:val="00DB732F"/>
    <w:rsid w:val="00DC3749"/>
    <w:rsid w:val="00DD1E74"/>
    <w:rsid w:val="00DD64DC"/>
    <w:rsid w:val="00DE62FE"/>
    <w:rsid w:val="00DE7DDF"/>
    <w:rsid w:val="00DF006C"/>
    <w:rsid w:val="00DF0D46"/>
    <w:rsid w:val="00DF3458"/>
    <w:rsid w:val="00DF4BF3"/>
    <w:rsid w:val="00E13B23"/>
    <w:rsid w:val="00E15D53"/>
    <w:rsid w:val="00E2001B"/>
    <w:rsid w:val="00E4270C"/>
    <w:rsid w:val="00E51AD6"/>
    <w:rsid w:val="00E5589C"/>
    <w:rsid w:val="00E6762A"/>
    <w:rsid w:val="00E678FA"/>
    <w:rsid w:val="00E74C7E"/>
    <w:rsid w:val="00E755E9"/>
    <w:rsid w:val="00E77C1A"/>
    <w:rsid w:val="00E86C0B"/>
    <w:rsid w:val="00EC77FC"/>
    <w:rsid w:val="00EE3466"/>
    <w:rsid w:val="00EE7717"/>
    <w:rsid w:val="00EF0358"/>
    <w:rsid w:val="00F13AC1"/>
    <w:rsid w:val="00F20BC0"/>
    <w:rsid w:val="00F21304"/>
    <w:rsid w:val="00F23164"/>
    <w:rsid w:val="00F25281"/>
    <w:rsid w:val="00F371CF"/>
    <w:rsid w:val="00F420EF"/>
    <w:rsid w:val="00F611E2"/>
    <w:rsid w:val="00F61CD0"/>
    <w:rsid w:val="00F630B4"/>
    <w:rsid w:val="00F65B6D"/>
    <w:rsid w:val="00F66911"/>
    <w:rsid w:val="00F9435A"/>
    <w:rsid w:val="00FA0E3E"/>
    <w:rsid w:val="00FA4236"/>
    <w:rsid w:val="00FD7DB6"/>
    <w:rsid w:val="00FE18EF"/>
    <w:rsid w:val="00FE3DB9"/>
    <w:rsid w:val="00FE4095"/>
    <w:rsid w:val="00FE69F5"/>
    <w:rsid w:val="00FF1675"/>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8D95C5C6-2123-4AD8-B794-A847275A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1E2"/>
    <w:pPr>
      <w:widowControl w:val="0"/>
      <w:spacing w:after="0" w:line="240" w:lineRule="auto"/>
    </w:pPr>
  </w:style>
  <w:style w:type="paragraph" w:styleId="Heading1">
    <w:name w:val="heading 1"/>
    <w:basedOn w:val="Normal"/>
    <w:next w:val="Normal"/>
    <w:link w:val="Heading1Char"/>
    <w:uiPriority w:val="9"/>
    <w:qFormat/>
    <w:rsid w:val="008D4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4B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488D"/>
    <w:pPr>
      <w:keepNext/>
      <w:keepLines/>
      <w:widowControl/>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25"/>
    <w:pPr>
      <w:ind w:left="720"/>
      <w:contextualSpacing/>
    </w:pPr>
  </w:style>
  <w:style w:type="character" w:customStyle="1" w:styleId="Heading1Char">
    <w:name w:val="Heading 1 Char"/>
    <w:basedOn w:val="DefaultParagraphFont"/>
    <w:link w:val="Heading1"/>
    <w:uiPriority w:val="9"/>
    <w:rsid w:val="008D4B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4B2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D49AE"/>
    <w:pPr>
      <w:widowControl/>
      <w:spacing w:line="259" w:lineRule="auto"/>
      <w:outlineLvl w:val="9"/>
    </w:pPr>
    <w:rPr>
      <w:lang w:val="en-US"/>
    </w:rPr>
  </w:style>
  <w:style w:type="paragraph" w:styleId="TOC1">
    <w:name w:val="toc 1"/>
    <w:basedOn w:val="Normal"/>
    <w:next w:val="Normal"/>
    <w:autoRedefine/>
    <w:uiPriority w:val="39"/>
    <w:unhideWhenUsed/>
    <w:rsid w:val="00465172"/>
    <w:pPr>
      <w:tabs>
        <w:tab w:val="left" w:pos="660"/>
        <w:tab w:val="right" w:leader="dot" w:pos="9016"/>
      </w:tabs>
      <w:spacing w:after="100"/>
    </w:pPr>
    <w:rPr>
      <w:rFonts w:ascii="Arial" w:hAnsi="Arial" w:cs="Arial"/>
      <w:b/>
      <w:noProof/>
    </w:rPr>
  </w:style>
  <w:style w:type="paragraph" w:styleId="TOC2">
    <w:name w:val="toc 2"/>
    <w:basedOn w:val="Normal"/>
    <w:next w:val="Normal"/>
    <w:autoRedefine/>
    <w:uiPriority w:val="39"/>
    <w:unhideWhenUsed/>
    <w:rsid w:val="00AD49AE"/>
    <w:pPr>
      <w:spacing w:after="100"/>
      <w:ind w:left="220"/>
    </w:pPr>
  </w:style>
  <w:style w:type="character" w:styleId="Hyperlink">
    <w:name w:val="Hyperlink"/>
    <w:basedOn w:val="DefaultParagraphFont"/>
    <w:uiPriority w:val="99"/>
    <w:unhideWhenUsed/>
    <w:rsid w:val="00AD49AE"/>
    <w:rPr>
      <w:color w:val="0563C1" w:themeColor="hyperlink"/>
      <w:u w:val="single"/>
    </w:rPr>
  </w:style>
  <w:style w:type="character" w:customStyle="1" w:styleId="Heading3Char">
    <w:name w:val="Heading 3 Char"/>
    <w:basedOn w:val="DefaultParagraphFont"/>
    <w:link w:val="Heading3"/>
    <w:uiPriority w:val="9"/>
    <w:rsid w:val="0056488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6488D"/>
    <w:pPr>
      <w:spacing w:after="100"/>
      <w:ind w:left="440"/>
    </w:pPr>
  </w:style>
  <w:style w:type="paragraph" w:styleId="Header">
    <w:name w:val="header"/>
    <w:basedOn w:val="Normal"/>
    <w:link w:val="HeaderChar"/>
    <w:uiPriority w:val="99"/>
    <w:unhideWhenUsed/>
    <w:rsid w:val="00E51AD6"/>
    <w:pPr>
      <w:tabs>
        <w:tab w:val="center" w:pos="4513"/>
        <w:tab w:val="right" w:pos="9026"/>
      </w:tabs>
    </w:pPr>
  </w:style>
  <w:style w:type="character" w:customStyle="1" w:styleId="HeaderChar">
    <w:name w:val="Header Char"/>
    <w:basedOn w:val="DefaultParagraphFont"/>
    <w:link w:val="Header"/>
    <w:uiPriority w:val="99"/>
    <w:rsid w:val="00E51AD6"/>
  </w:style>
  <w:style w:type="paragraph" w:styleId="Footer">
    <w:name w:val="footer"/>
    <w:basedOn w:val="Normal"/>
    <w:link w:val="FooterChar"/>
    <w:uiPriority w:val="99"/>
    <w:unhideWhenUsed/>
    <w:rsid w:val="00E51AD6"/>
    <w:pPr>
      <w:tabs>
        <w:tab w:val="center" w:pos="4513"/>
        <w:tab w:val="right" w:pos="9026"/>
      </w:tabs>
    </w:pPr>
  </w:style>
  <w:style w:type="character" w:customStyle="1" w:styleId="FooterChar">
    <w:name w:val="Footer Char"/>
    <w:basedOn w:val="DefaultParagraphFont"/>
    <w:link w:val="Footer"/>
    <w:uiPriority w:val="99"/>
    <w:rsid w:val="00E51AD6"/>
  </w:style>
  <w:style w:type="paragraph" w:styleId="BalloonText">
    <w:name w:val="Balloon Text"/>
    <w:basedOn w:val="Normal"/>
    <w:link w:val="BalloonTextChar"/>
    <w:uiPriority w:val="99"/>
    <w:semiHidden/>
    <w:unhideWhenUsed/>
    <w:rsid w:val="00216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1A"/>
    <w:rPr>
      <w:rFonts w:ascii="Segoe UI" w:hAnsi="Segoe UI" w:cs="Segoe UI"/>
      <w:sz w:val="18"/>
      <w:szCs w:val="18"/>
    </w:rPr>
  </w:style>
  <w:style w:type="character" w:styleId="FollowedHyperlink">
    <w:name w:val="FollowedHyperlink"/>
    <w:basedOn w:val="DefaultParagraphFont"/>
    <w:uiPriority w:val="99"/>
    <w:semiHidden/>
    <w:unhideWhenUsed/>
    <w:rsid w:val="006A1C33"/>
    <w:rPr>
      <w:color w:val="954F72" w:themeColor="followedHyperlink"/>
      <w:u w:val="single"/>
    </w:rPr>
  </w:style>
  <w:style w:type="paragraph" w:styleId="NoSpacing">
    <w:name w:val="No Spacing"/>
    <w:uiPriority w:val="1"/>
    <w:qFormat/>
    <w:rsid w:val="00DE62FE"/>
    <w:pPr>
      <w:widowControl w:val="0"/>
      <w:spacing w:after="0" w:line="240" w:lineRule="auto"/>
    </w:pPr>
  </w:style>
  <w:style w:type="table" w:styleId="LightGrid-Accent5">
    <w:name w:val="Light Grid Accent 5"/>
    <w:basedOn w:val="TableNormal"/>
    <w:uiPriority w:val="62"/>
    <w:rsid w:val="0016467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MediumList1-Accent11">
    <w:name w:val="Medium List 1 - Accent 11"/>
    <w:basedOn w:val="TableNormal"/>
    <w:uiPriority w:val="65"/>
    <w:rsid w:val="00F213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1-Accent5">
    <w:name w:val="Medium Shading 1 Accent 5"/>
    <w:basedOn w:val="TableNormal"/>
    <w:uiPriority w:val="63"/>
    <w:rsid w:val="00CA61AC"/>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A61AC"/>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C44D46"/>
    <w:pPr>
      <w:widowControl/>
      <w:spacing w:after="315"/>
    </w:pPr>
    <w:rPr>
      <w:rFonts w:ascii="Times New Roman" w:eastAsia="Times New Roman" w:hAnsi="Times New Roman" w:cs="Times New Roman"/>
      <w:sz w:val="24"/>
      <w:szCs w:val="24"/>
      <w:lang w:eastAsia="en-GB"/>
    </w:rPr>
  </w:style>
  <w:style w:type="paragraph" w:customStyle="1" w:styleId="Tableparaintra-cell">
    <w:name w:val="&gt; Table para (intra-cell)"/>
    <w:basedOn w:val="Normal"/>
    <w:qFormat/>
    <w:rsid w:val="00E5589C"/>
    <w:pPr>
      <w:widowControl/>
      <w:spacing w:after="60" w:line="300" w:lineRule="auto"/>
    </w:pPr>
    <w:rPr>
      <w:rFonts w:ascii="Arial" w:eastAsia="Times New Roman" w:hAnsi="Arial" w:cs="Arial"/>
      <w:sz w:val="24"/>
      <w:szCs w:val="24"/>
    </w:rPr>
  </w:style>
  <w:style w:type="character" w:styleId="Strong">
    <w:name w:val="Strong"/>
    <w:basedOn w:val="DefaultParagraphFont"/>
    <w:uiPriority w:val="22"/>
    <w:qFormat/>
    <w:rsid w:val="006B3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437">
      <w:bodyDiv w:val="1"/>
      <w:marLeft w:val="0"/>
      <w:marRight w:val="0"/>
      <w:marTop w:val="0"/>
      <w:marBottom w:val="0"/>
      <w:divBdr>
        <w:top w:val="none" w:sz="0" w:space="0" w:color="auto"/>
        <w:left w:val="none" w:sz="0" w:space="0" w:color="auto"/>
        <w:bottom w:val="none" w:sz="0" w:space="0" w:color="auto"/>
        <w:right w:val="none" w:sz="0" w:space="0" w:color="auto"/>
      </w:divBdr>
      <w:divsChild>
        <w:div w:id="647443119">
          <w:marLeft w:val="0"/>
          <w:marRight w:val="0"/>
          <w:marTop w:val="0"/>
          <w:marBottom w:val="0"/>
          <w:divBdr>
            <w:top w:val="none" w:sz="0" w:space="0" w:color="auto"/>
            <w:left w:val="none" w:sz="0" w:space="0" w:color="auto"/>
            <w:bottom w:val="none" w:sz="0" w:space="0" w:color="auto"/>
            <w:right w:val="none" w:sz="0" w:space="0" w:color="auto"/>
          </w:divBdr>
          <w:divsChild>
            <w:div w:id="725644574">
              <w:marLeft w:val="0"/>
              <w:marRight w:val="0"/>
              <w:marTop w:val="930"/>
              <w:marBottom w:val="0"/>
              <w:divBdr>
                <w:top w:val="none" w:sz="0" w:space="0" w:color="auto"/>
                <w:left w:val="none" w:sz="0" w:space="0" w:color="auto"/>
                <w:bottom w:val="none" w:sz="0" w:space="0" w:color="auto"/>
                <w:right w:val="none" w:sz="0" w:space="0" w:color="auto"/>
              </w:divBdr>
              <w:divsChild>
                <w:div w:id="1898003905">
                  <w:marLeft w:val="0"/>
                  <w:marRight w:val="0"/>
                  <w:marTop w:val="0"/>
                  <w:marBottom w:val="0"/>
                  <w:divBdr>
                    <w:top w:val="none" w:sz="0" w:space="0" w:color="auto"/>
                    <w:left w:val="none" w:sz="0" w:space="0" w:color="auto"/>
                    <w:bottom w:val="none" w:sz="0" w:space="0" w:color="auto"/>
                    <w:right w:val="none" w:sz="0" w:space="0" w:color="auto"/>
                  </w:divBdr>
                  <w:divsChild>
                    <w:div w:id="109513221">
                      <w:marLeft w:val="-450"/>
                      <w:marRight w:val="0"/>
                      <w:marTop w:val="0"/>
                      <w:marBottom w:val="0"/>
                      <w:divBdr>
                        <w:top w:val="none" w:sz="0" w:space="0" w:color="auto"/>
                        <w:left w:val="none" w:sz="0" w:space="0" w:color="auto"/>
                        <w:bottom w:val="none" w:sz="0" w:space="0" w:color="auto"/>
                        <w:right w:val="none" w:sz="0" w:space="0" w:color="auto"/>
                      </w:divBdr>
                      <w:divsChild>
                        <w:div w:id="736978821">
                          <w:marLeft w:val="0"/>
                          <w:marRight w:val="0"/>
                          <w:marTop w:val="0"/>
                          <w:marBottom w:val="0"/>
                          <w:divBdr>
                            <w:top w:val="none" w:sz="0" w:space="0" w:color="auto"/>
                            <w:left w:val="none" w:sz="0" w:space="0" w:color="auto"/>
                            <w:bottom w:val="none" w:sz="0" w:space="0" w:color="auto"/>
                            <w:right w:val="none" w:sz="0" w:space="0" w:color="auto"/>
                          </w:divBdr>
                          <w:divsChild>
                            <w:div w:id="10098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95366">
      <w:bodyDiv w:val="1"/>
      <w:marLeft w:val="0"/>
      <w:marRight w:val="0"/>
      <w:marTop w:val="0"/>
      <w:marBottom w:val="0"/>
      <w:divBdr>
        <w:top w:val="none" w:sz="0" w:space="0" w:color="auto"/>
        <w:left w:val="none" w:sz="0" w:space="0" w:color="auto"/>
        <w:bottom w:val="none" w:sz="0" w:space="0" w:color="auto"/>
        <w:right w:val="none" w:sz="0" w:space="0" w:color="auto"/>
      </w:divBdr>
      <w:divsChild>
        <w:div w:id="1303196102">
          <w:marLeft w:val="0"/>
          <w:marRight w:val="0"/>
          <w:marTop w:val="0"/>
          <w:marBottom w:val="0"/>
          <w:divBdr>
            <w:top w:val="none" w:sz="0" w:space="0" w:color="auto"/>
            <w:left w:val="none" w:sz="0" w:space="0" w:color="auto"/>
            <w:bottom w:val="none" w:sz="0" w:space="0" w:color="auto"/>
            <w:right w:val="none" w:sz="0" w:space="0" w:color="auto"/>
          </w:divBdr>
        </w:div>
      </w:divsChild>
    </w:div>
    <w:div w:id="291519157">
      <w:bodyDiv w:val="1"/>
      <w:marLeft w:val="0"/>
      <w:marRight w:val="0"/>
      <w:marTop w:val="0"/>
      <w:marBottom w:val="0"/>
      <w:divBdr>
        <w:top w:val="none" w:sz="0" w:space="0" w:color="auto"/>
        <w:left w:val="none" w:sz="0" w:space="0" w:color="auto"/>
        <w:bottom w:val="none" w:sz="0" w:space="0" w:color="auto"/>
        <w:right w:val="none" w:sz="0" w:space="0" w:color="auto"/>
      </w:divBdr>
    </w:div>
    <w:div w:id="468476516">
      <w:bodyDiv w:val="1"/>
      <w:marLeft w:val="0"/>
      <w:marRight w:val="0"/>
      <w:marTop w:val="0"/>
      <w:marBottom w:val="0"/>
      <w:divBdr>
        <w:top w:val="none" w:sz="0" w:space="0" w:color="auto"/>
        <w:left w:val="none" w:sz="0" w:space="0" w:color="auto"/>
        <w:bottom w:val="none" w:sz="0" w:space="0" w:color="auto"/>
        <w:right w:val="none" w:sz="0" w:space="0" w:color="auto"/>
      </w:divBdr>
      <w:divsChild>
        <w:div w:id="1619334493">
          <w:marLeft w:val="0"/>
          <w:marRight w:val="0"/>
          <w:marTop w:val="0"/>
          <w:marBottom w:val="0"/>
          <w:divBdr>
            <w:top w:val="none" w:sz="0" w:space="0" w:color="auto"/>
            <w:left w:val="none" w:sz="0" w:space="0" w:color="auto"/>
            <w:bottom w:val="none" w:sz="0" w:space="0" w:color="auto"/>
            <w:right w:val="none" w:sz="0" w:space="0" w:color="auto"/>
          </w:divBdr>
          <w:divsChild>
            <w:div w:id="552539734">
              <w:marLeft w:val="0"/>
              <w:marRight w:val="0"/>
              <w:marTop w:val="930"/>
              <w:marBottom w:val="0"/>
              <w:divBdr>
                <w:top w:val="none" w:sz="0" w:space="0" w:color="auto"/>
                <w:left w:val="none" w:sz="0" w:space="0" w:color="auto"/>
                <w:bottom w:val="none" w:sz="0" w:space="0" w:color="auto"/>
                <w:right w:val="none" w:sz="0" w:space="0" w:color="auto"/>
              </w:divBdr>
              <w:divsChild>
                <w:div w:id="684552311">
                  <w:marLeft w:val="0"/>
                  <w:marRight w:val="0"/>
                  <w:marTop w:val="0"/>
                  <w:marBottom w:val="0"/>
                  <w:divBdr>
                    <w:top w:val="none" w:sz="0" w:space="0" w:color="auto"/>
                    <w:left w:val="none" w:sz="0" w:space="0" w:color="auto"/>
                    <w:bottom w:val="none" w:sz="0" w:space="0" w:color="auto"/>
                    <w:right w:val="none" w:sz="0" w:space="0" w:color="auto"/>
                  </w:divBdr>
                  <w:divsChild>
                    <w:div w:id="831607117">
                      <w:marLeft w:val="-450"/>
                      <w:marRight w:val="0"/>
                      <w:marTop w:val="0"/>
                      <w:marBottom w:val="0"/>
                      <w:divBdr>
                        <w:top w:val="none" w:sz="0" w:space="0" w:color="auto"/>
                        <w:left w:val="none" w:sz="0" w:space="0" w:color="auto"/>
                        <w:bottom w:val="none" w:sz="0" w:space="0" w:color="auto"/>
                        <w:right w:val="none" w:sz="0" w:space="0" w:color="auto"/>
                      </w:divBdr>
                      <w:divsChild>
                        <w:div w:id="538014302">
                          <w:marLeft w:val="0"/>
                          <w:marRight w:val="0"/>
                          <w:marTop w:val="0"/>
                          <w:marBottom w:val="0"/>
                          <w:divBdr>
                            <w:top w:val="none" w:sz="0" w:space="0" w:color="auto"/>
                            <w:left w:val="none" w:sz="0" w:space="0" w:color="auto"/>
                            <w:bottom w:val="none" w:sz="0" w:space="0" w:color="auto"/>
                            <w:right w:val="none" w:sz="0" w:space="0" w:color="auto"/>
                          </w:divBdr>
                          <w:divsChild>
                            <w:div w:id="1546676873">
                              <w:marLeft w:val="0"/>
                              <w:marRight w:val="0"/>
                              <w:marTop w:val="0"/>
                              <w:marBottom w:val="0"/>
                              <w:divBdr>
                                <w:top w:val="none" w:sz="0" w:space="0" w:color="auto"/>
                                <w:left w:val="none" w:sz="0" w:space="0" w:color="auto"/>
                                <w:bottom w:val="none" w:sz="0" w:space="0" w:color="auto"/>
                                <w:right w:val="none" w:sz="0" w:space="0" w:color="auto"/>
                              </w:divBdr>
                              <w:divsChild>
                                <w:div w:id="18195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304986">
      <w:bodyDiv w:val="1"/>
      <w:marLeft w:val="0"/>
      <w:marRight w:val="0"/>
      <w:marTop w:val="0"/>
      <w:marBottom w:val="0"/>
      <w:divBdr>
        <w:top w:val="none" w:sz="0" w:space="0" w:color="auto"/>
        <w:left w:val="none" w:sz="0" w:space="0" w:color="auto"/>
        <w:bottom w:val="none" w:sz="0" w:space="0" w:color="auto"/>
        <w:right w:val="none" w:sz="0" w:space="0" w:color="auto"/>
      </w:divBdr>
    </w:div>
    <w:div w:id="774053668">
      <w:bodyDiv w:val="1"/>
      <w:marLeft w:val="0"/>
      <w:marRight w:val="0"/>
      <w:marTop w:val="0"/>
      <w:marBottom w:val="0"/>
      <w:divBdr>
        <w:top w:val="none" w:sz="0" w:space="0" w:color="auto"/>
        <w:left w:val="none" w:sz="0" w:space="0" w:color="auto"/>
        <w:bottom w:val="none" w:sz="0" w:space="0" w:color="auto"/>
        <w:right w:val="none" w:sz="0" w:space="0" w:color="auto"/>
      </w:divBdr>
      <w:divsChild>
        <w:div w:id="1808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896450">
              <w:marLeft w:val="0"/>
              <w:marRight w:val="0"/>
              <w:marTop w:val="0"/>
              <w:marBottom w:val="0"/>
              <w:divBdr>
                <w:top w:val="none" w:sz="0" w:space="0" w:color="auto"/>
                <w:left w:val="none" w:sz="0" w:space="0" w:color="auto"/>
                <w:bottom w:val="none" w:sz="0" w:space="0" w:color="auto"/>
                <w:right w:val="none" w:sz="0" w:space="0" w:color="auto"/>
              </w:divBdr>
              <w:divsChild>
                <w:div w:id="20798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737">
      <w:bodyDiv w:val="1"/>
      <w:marLeft w:val="0"/>
      <w:marRight w:val="0"/>
      <w:marTop w:val="0"/>
      <w:marBottom w:val="0"/>
      <w:divBdr>
        <w:top w:val="none" w:sz="0" w:space="0" w:color="auto"/>
        <w:left w:val="none" w:sz="0" w:space="0" w:color="auto"/>
        <w:bottom w:val="none" w:sz="0" w:space="0" w:color="auto"/>
        <w:right w:val="none" w:sz="0" w:space="0" w:color="auto"/>
      </w:divBdr>
      <w:divsChild>
        <w:div w:id="542640029">
          <w:marLeft w:val="547"/>
          <w:marRight w:val="0"/>
          <w:marTop w:val="0"/>
          <w:marBottom w:val="0"/>
          <w:divBdr>
            <w:top w:val="none" w:sz="0" w:space="0" w:color="auto"/>
            <w:left w:val="none" w:sz="0" w:space="0" w:color="auto"/>
            <w:bottom w:val="none" w:sz="0" w:space="0" w:color="auto"/>
            <w:right w:val="none" w:sz="0" w:space="0" w:color="auto"/>
          </w:divBdr>
        </w:div>
      </w:divsChild>
    </w:div>
    <w:div w:id="1931771800">
      <w:bodyDiv w:val="1"/>
      <w:marLeft w:val="0"/>
      <w:marRight w:val="0"/>
      <w:marTop w:val="0"/>
      <w:marBottom w:val="0"/>
      <w:divBdr>
        <w:top w:val="none" w:sz="0" w:space="0" w:color="auto"/>
        <w:left w:val="none" w:sz="0" w:space="0" w:color="auto"/>
        <w:bottom w:val="none" w:sz="0" w:space="0" w:color="auto"/>
        <w:right w:val="none" w:sz="0" w:space="0" w:color="auto"/>
      </w:divBdr>
      <w:divsChild>
        <w:div w:id="936330641">
          <w:marLeft w:val="0"/>
          <w:marRight w:val="0"/>
          <w:marTop w:val="0"/>
          <w:marBottom w:val="0"/>
          <w:divBdr>
            <w:top w:val="none" w:sz="0" w:space="0" w:color="auto"/>
            <w:left w:val="none" w:sz="0" w:space="0" w:color="auto"/>
            <w:bottom w:val="none" w:sz="0" w:space="0" w:color="auto"/>
            <w:right w:val="none" w:sz="0" w:space="0" w:color="auto"/>
          </w:divBdr>
        </w:div>
      </w:divsChild>
    </w:div>
    <w:div w:id="2090807889">
      <w:bodyDiv w:val="1"/>
      <w:marLeft w:val="0"/>
      <w:marRight w:val="0"/>
      <w:marTop w:val="0"/>
      <w:marBottom w:val="0"/>
      <w:divBdr>
        <w:top w:val="none" w:sz="0" w:space="0" w:color="auto"/>
        <w:left w:val="none" w:sz="0" w:space="0" w:color="auto"/>
        <w:bottom w:val="none" w:sz="0" w:space="0" w:color="auto"/>
        <w:right w:val="none" w:sz="0" w:space="0" w:color="auto"/>
      </w:divBdr>
      <w:divsChild>
        <w:div w:id="148754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3146-6A58-455F-9593-2A0C973B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Chris</dc:creator>
  <cp:lastModifiedBy>Cherry, Caroline</cp:lastModifiedBy>
  <cp:revision>2</cp:revision>
  <cp:lastPrinted>2020-02-21T15:03:00Z</cp:lastPrinted>
  <dcterms:created xsi:type="dcterms:W3CDTF">2021-02-03T12:18:00Z</dcterms:created>
  <dcterms:modified xsi:type="dcterms:W3CDTF">2021-02-03T12:18:00Z</dcterms:modified>
</cp:coreProperties>
</file>