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675" w:rsidRPr="00164675" w:rsidRDefault="007E7A90" w:rsidP="00174F8B">
      <w:pPr>
        <w:jc w:val="both"/>
        <w:rPr>
          <w:rFonts w:ascii="Arial" w:hAnsi="Arial" w:cs="Arial"/>
          <w:sz w:val="24"/>
          <w:szCs w:val="24"/>
        </w:rPr>
      </w:pPr>
      <w:r>
        <w:rPr>
          <w:rFonts w:ascii="Arial" w:hAnsi="Arial" w:cs="Arial"/>
          <w:b/>
          <w:noProof/>
          <w:color w:val="0070C0"/>
          <w:lang w:eastAsia="en-GB"/>
        </w:rPr>
        <w:drawing>
          <wp:anchor distT="0" distB="0" distL="114300" distR="114300" simplePos="0" relativeHeight="251657728" behindDoc="0" locked="0" layoutInCell="1" allowOverlap="1" wp14:anchorId="767F069D" wp14:editId="07777777">
            <wp:simplePos x="0" y="0"/>
            <wp:positionH relativeFrom="margin">
              <wp:align>center</wp:align>
            </wp:positionH>
            <wp:positionV relativeFrom="paragraph">
              <wp:posOffset>160020</wp:posOffset>
            </wp:positionV>
            <wp:extent cx="4813300" cy="1282700"/>
            <wp:effectExtent l="0" t="0" r="0" b="0"/>
            <wp:wrapThrough wrapText="bothSides">
              <wp:wrapPolygon edited="0">
                <wp:start x="3761" y="0"/>
                <wp:lineTo x="2308" y="0"/>
                <wp:lineTo x="1710" y="1604"/>
                <wp:lineTo x="1710" y="5133"/>
                <wp:lineTo x="85" y="8020"/>
                <wp:lineTo x="0" y="8341"/>
                <wp:lineTo x="0" y="16681"/>
                <wp:lineTo x="427" y="20531"/>
                <wp:lineTo x="1710" y="21172"/>
                <wp:lineTo x="20346" y="21172"/>
                <wp:lineTo x="21543" y="16681"/>
                <wp:lineTo x="21201" y="16360"/>
                <wp:lineTo x="17183" y="14756"/>
                <wp:lineTo x="17354" y="10265"/>
                <wp:lineTo x="21543" y="7378"/>
                <wp:lineTo x="21543" y="1283"/>
                <wp:lineTo x="17183" y="0"/>
                <wp:lineTo x="4360" y="0"/>
                <wp:lineTo x="3761" y="0"/>
              </wp:wrapPolygon>
            </wp:wrapThrough>
            <wp:docPr id="2" name="Picture 5" descr="V:\HSCP\Branding\Final 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HSCP\Branding\Final Logo Colou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3300" cy="1282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7733" w:rsidRPr="00174F8B" w:rsidRDefault="00097733" w:rsidP="00174F8B">
      <w:pPr>
        <w:jc w:val="both"/>
        <w:rPr>
          <w:rFonts w:ascii="Arial" w:hAnsi="Arial" w:cs="Arial"/>
          <w:b/>
        </w:rPr>
      </w:pPr>
    </w:p>
    <w:p w:rsidR="00097733" w:rsidRPr="00174F8B" w:rsidRDefault="00097733" w:rsidP="00174F8B">
      <w:pPr>
        <w:jc w:val="both"/>
        <w:rPr>
          <w:rFonts w:ascii="Arial" w:hAnsi="Arial" w:cs="Arial"/>
          <w:b/>
        </w:rPr>
      </w:pPr>
    </w:p>
    <w:p w:rsidR="00097733" w:rsidRPr="00174F8B" w:rsidRDefault="00097733" w:rsidP="00174F8B">
      <w:pPr>
        <w:jc w:val="both"/>
        <w:rPr>
          <w:rFonts w:ascii="Arial" w:hAnsi="Arial" w:cs="Arial"/>
          <w:b/>
        </w:rPr>
      </w:pPr>
    </w:p>
    <w:p w:rsidR="00097733" w:rsidRPr="00174F8B" w:rsidRDefault="00097733" w:rsidP="00174F8B">
      <w:pPr>
        <w:jc w:val="both"/>
        <w:rPr>
          <w:rFonts w:ascii="Arial" w:hAnsi="Arial" w:cs="Arial"/>
          <w:b/>
        </w:rPr>
      </w:pPr>
    </w:p>
    <w:p w:rsidR="00174F8B" w:rsidRPr="00174F8B" w:rsidRDefault="00174F8B" w:rsidP="00174F8B">
      <w:pPr>
        <w:jc w:val="both"/>
        <w:rPr>
          <w:rFonts w:ascii="Arial" w:hAnsi="Arial" w:cs="Arial"/>
          <w:b/>
        </w:rPr>
      </w:pPr>
    </w:p>
    <w:p w:rsidR="00174F8B" w:rsidRPr="00174F8B" w:rsidRDefault="00174F8B" w:rsidP="00174F8B">
      <w:pPr>
        <w:jc w:val="both"/>
        <w:rPr>
          <w:rFonts w:ascii="Arial" w:hAnsi="Arial" w:cs="Arial"/>
          <w:b/>
        </w:rPr>
      </w:pPr>
    </w:p>
    <w:p w:rsidR="00174F8B" w:rsidRPr="00174F8B" w:rsidRDefault="00174F8B" w:rsidP="00174F8B">
      <w:pPr>
        <w:jc w:val="both"/>
        <w:rPr>
          <w:rFonts w:ascii="Arial" w:hAnsi="Arial" w:cs="Arial"/>
          <w:b/>
        </w:rPr>
      </w:pPr>
    </w:p>
    <w:p w:rsidR="00174F8B" w:rsidRPr="00174F8B" w:rsidRDefault="00174F8B" w:rsidP="00174F8B">
      <w:pPr>
        <w:jc w:val="both"/>
        <w:rPr>
          <w:rFonts w:ascii="Arial" w:hAnsi="Arial" w:cs="Arial"/>
          <w:b/>
        </w:rPr>
      </w:pPr>
    </w:p>
    <w:p w:rsidR="00174F8B" w:rsidRPr="00174F8B" w:rsidRDefault="00174F8B" w:rsidP="00B62FC1">
      <w:pPr>
        <w:jc w:val="center"/>
        <w:rPr>
          <w:rFonts w:ascii="Arial" w:hAnsi="Arial" w:cs="Arial"/>
          <w:b/>
        </w:rPr>
      </w:pPr>
    </w:p>
    <w:p w:rsidR="00B62FC1" w:rsidRPr="00174F8B" w:rsidRDefault="0034768E" w:rsidP="00B62FC1">
      <w:pPr>
        <w:jc w:val="center"/>
        <w:rPr>
          <w:rFonts w:ascii="Arial" w:hAnsi="Arial" w:cs="Arial"/>
          <w:b/>
          <w:color w:val="0070C0"/>
          <w:sz w:val="32"/>
          <w:szCs w:val="32"/>
        </w:rPr>
      </w:pPr>
      <w:r w:rsidRPr="00174F8B">
        <w:rPr>
          <w:rFonts w:ascii="Arial" w:hAnsi="Arial" w:cs="Arial"/>
          <w:b/>
          <w:color w:val="0070C0"/>
          <w:sz w:val="32"/>
          <w:szCs w:val="32"/>
        </w:rPr>
        <w:t>Equality</w:t>
      </w:r>
      <w:r w:rsidR="00C61BB4" w:rsidRPr="00174F8B">
        <w:rPr>
          <w:rFonts w:ascii="Arial" w:hAnsi="Arial" w:cs="Arial"/>
          <w:b/>
          <w:color w:val="0070C0"/>
          <w:sz w:val="32"/>
          <w:szCs w:val="32"/>
        </w:rPr>
        <w:t xml:space="preserve"> </w:t>
      </w:r>
      <w:r w:rsidR="00B62FC1" w:rsidRPr="00174F8B">
        <w:rPr>
          <w:rFonts w:ascii="Arial" w:hAnsi="Arial" w:cs="Arial"/>
          <w:b/>
          <w:color w:val="0070C0"/>
          <w:sz w:val="32"/>
          <w:szCs w:val="32"/>
        </w:rPr>
        <w:t>Impact Assessment</w:t>
      </w:r>
    </w:p>
    <w:p w:rsidR="00B62FC1" w:rsidRPr="00174F8B" w:rsidRDefault="00B62FC1" w:rsidP="00B62FC1">
      <w:pPr>
        <w:jc w:val="center"/>
        <w:rPr>
          <w:rFonts w:ascii="Arial" w:hAnsi="Arial" w:cs="Arial"/>
          <w:b/>
          <w:color w:val="0070C0"/>
          <w:sz w:val="32"/>
          <w:szCs w:val="32"/>
        </w:rPr>
      </w:pPr>
    </w:p>
    <w:p w:rsidR="00B62FC1" w:rsidRDefault="00B62FC1" w:rsidP="00B62FC1">
      <w:pPr>
        <w:jc w:val="center"/>
        <w:rPr>
          <w:rFonts w:ascii="Arial" w:hAnsi="Arial" w:cs="Arial"/>
          <w:b/>
          <w:color w:val="0070C0"/>
        </w:rPr>
      </w:pPr>
      <w:r w:rsidRPr="00B62FC1">
        <w:rPr>
          <w:rFonts w:ascii="Arial" w:hAnsi="Arial" w:cs="Arial"/>
          <w:b/>
          <w:color w:val="0070C0"/>
        </w:rPr>
        <w:t>Section 1: About the proposal</w:t>
      </w:r>
    </w:p>
    <w:p w:rsidR="00CB79BC" w:rsidRPr="00B62FC1" w:rsidRDefault="00CB79BC" w:rsidP="00B62FC1">
      <w:pPr>
        <w:jc w:val="center"/>
        <w:rPr>
          <w:rFonts w:ascii="Arial" w:hAnsi="Arial" w:cs="Arial"/>
          <w:b/>
          <w:color w:val="0070C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62FC1" w:rsidRPr="00464EFE" w:rsidTr="00464EFE">
        <w:tc>
          <w:tcPr>
            <w:tcW w:w="9493" w:type="dxa"/>
          </w:tcPr>
          <w:p w:rsidR="00B62FC1" w:rsidRPr="00464EFE" w:rsidRDefault="00B62FC1" w:rsidP="006D5698">
            <w:pPr>
              <w:rPr>
                <w:rFonts w:ascii="Arial" w:hAnsi="Arial" w:cs="Arial"/>
                <w:b/>
              </w:rPr>
            </w:pPr>
            <w:r w:rsidRPr="00464EFE">
              <w:rPr>
                <w:rFonts w:ascii="Arial" w:hAnsi="Arial" w:cs="Arial"/>
                <w:b/>
              </w:rPr>
              <w:t>Title of Proposal</w:t>
            </w:r>
          </w:p>
        </w:tc>
      </w:tr>
      <w:tr w:rsidR="00B62FC1" w:rsidRPr="00464EFE" w:rsidTr="00464EFE">
        <w:tc>
          <w:tcPr>
            <w:tcW w:w="9493" w:type="dxa"/>
          </w:tcPr>
          <w:p w:rsidR="00B62FC1" w:rsidRPr="00464EFE" w:rsidRDefault="00B62FC1" w:rsidP="00174F8B">
            <w:pPr>
              <w:rPr>
                <w:rFonts w:ascii="Arial" w:hAnsi="Arial" w:cs="Arial"/>
              </w:rPr>
            </w:pPr>
          </w:p>
          <w:p w:rsidR="00174F8B" w:rsidRDefault="00F3029F" w:rsidP="00174F8B">
            <w:pPr>
              <w:rPr>
                <w:rFonts w:ascii="Arial" w:hAnsi="Arial" w:cs="Arial"/>
              </w:rPr>
            </w:pPr>
            <w:r>
              <w:rPr>
                <w:rFonts w:ascii="Arial" w:hAnsi="Arial" w:cs="Arial"/>
              </w:rPr>
              <w:t>Decommissioning</w:t>
            </w:r>
            <w:r w:rsidR="00395F40">
              <w:rPr>
                <w:rFonts w:ascii="Arial" w:hAnsi="Arial" w:cs="Arial"/>
              </w:rPr>
              <w:t xml:space="preserve"> of Service Level Agreement with RAMH (previously known as Acumen) and replace with signpos</w:t>
            </w:r>
            <w:r w:rsidR="0065111C">
              <w:rPr>
                <w:rFonts w:ascii="Arial" w:hAnsi="Arial" w:cs="Arial"/>
              </w:rPr>
              <w:t>ting to existing Advocacy services, carers grou</w:t>
            </w:r>
            <w:r w:rsidR="00C07475">
              <w:rPr>
                <w:rFonts w:ascii="Arial" w:hAnsi="Arial" w:cs="Arial"/>
              </w:rPr>
              <w:t>ps,</w:t>
            </w:r>
            <w:r w:rsidR="0065111C">
              <w:rPr>
                <w:rFonts w:ascii="Arial" w:hAnsi="Arial" w:cs="Arial"/>
              </w:rPr>
              <w:t xml:space="preserve"> and to</w:t>
            </w:r>
            <w:r w:rsidR="00395F40">
              <w:rPr>
                <w:rFonts w:ascii="Arial" w:hAnsi="Arial" w:cs="Arial"/>
              </w:rPr>
              <w:t xml:space="preserve"> national mental health organisations.</w:t>
            </w:r>
          </w:p>
          <w:p w:rsidR="00395F40" w:rsidRPr="00464EFE" w:rsidRDefault="00395F40" w:rsidP="00174F8B">
            <w:pPr>
              <w:rPr>
                <w:rFonts w:ascii="Arial" w:hAnsi="Arial" w:cs="Arial"/>
              </w:rPr>
            </w:pPr>
          </w:p>
        </w:tc>
      </w:tr>
    </w:tbl>
    <w:p w:rsidR="00B62FC1" w:rsidRPr="00675C29" w:rsidRDefault="00B62FC1" w:rsidP="00B62FC1">
      <w:pPr>
        <w:rPr>
          <w:rFonts w:ascii="Arial" w:hAnsi="Arial" w:cs="Arial"/>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62FC1" w:rsidRPr="00464EFE" w:rsidTr="00464EFE">
        <w:tc>
          <w:tcPr>
            <w:tcW w:w="9493" w:type="dxa"/>
          </w:tcPr>
          <w:p w:rsidR="00B62FC1" w:rsidRPr="00464EFE" w:rsidRDefault="00B62FC1" w:rsidP="006D5698">
            <w:pPr>
              <w:rPr>
                <w:rFonts w:ascii="Arial" w:hAnsi="Arial" w:cs="Arial"/>
                <w:b/>
              </w:rPr>
            </w:pPr>
            <w:r w:rsidRPr="00464EFE">
              <w:rPr>
                <w:rFonts w:ascii="Arial" w:hAnsi="Arial" w:cs="Arial"/>
                <w:b/>
              </w:rPr>
              <w:t>Intended outcome of proposal</w:t>
            </w:r>
          </w:p>
        </w:tc>
      </w:tr>
      <w:tr w:rsidR="00B62FC1" w:rsidRPr="00464EFE" w:rsidTr="00464EFE">
        <w:tc>
          <w:tcPr>
            <w:tcW w:w="9493" w:type="dxa"/>
          </w:tcPr>
          <w:p w:rsidR="00B62FC1" w:rsidRDefault="00B62FC1" w:rsidP="00174F8B">
            <w:pPr>
              <w:rPr>
                <w:rFonts w:ascii="Arial" w:hAnsi="Arial" w:cs="Arial"/>
              </w:rPr>
            </w:pPr>
          </w:p>
          <w:p w:rsidR="00395F40" w:rsidRPr="00464EFE" w:rsidRDefault="00395F40" w:rsidP="00174F8B">
            <w:pPr>
              <w:rPr>
                <w:rFonts w:ascii="Arial" w:hAnsi="Arial" w:cs="Arial"/>
              </w:rPr>
            </w:pPr>
            <w:r>
              <w:rPr>
                <w:rFonts w:ascii="Arial" w:hAnsi="Arial" w:cs="Arial"/>
              </w:rPr>
              <w:t xml:space="preserve">Provide consistency of resources across Adult Care Services and deliver an annual </w:t>
            </w:r>
            <w:r w:rsidR="00F9400B">
              <w:rPr>
                <w:rFonts w:ascii="Arial" w:hAnsi="Arial" w:cs="Arial"/>
              </w:rPr>
              <w:t xml:space="preserve">budget saving </w:t>
            </w:r>
            <w:r>
              <w:rPr>
                <w:rFonts w:ascii="Arial" w:hAnsi="Arial" w:cs="Arial"/>
              </w:rPr>
              <w:t>of £41,488</w:t>
            </w:r>
          </w:p>
          <w:p w:rsidR="00174F8B" w:rsidRPr="00464EFE" w:rsidRDefault="00174F8B" w:rsidP="00174F8B">
            <w:pPr>
              <w:rPr>
                <w:rFonts w:ascii="Arial" w:hAnsi="Arial" w:cs="Arial"/>
              </w:rPr>
            </w:pPr>
          </w:p>
        </w:tc>
      </w:tr>
    </w:tbl>
    <w:p w:rsidR="00B62FC1" w:rsidRPr="006A1C33" w:rsidRDefault="00B62FC1" w:rsidP="00B62FC1">
      <w:pPr>
        <w:rPr>
          <w:rFonts w:ascii="Arial" w:hAnsi="Arial" w:cs="Arial"/>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62FC1" w:rsidRPr="00464EFE" w:rsidTr="38B641A1">
        <w:tc>
          <w:tcPr>
            <w:tcW w:w="9493" w:type="dxa"/>
          </w:tcPr>
          <w:p w:rsidR="00B62FC1" w:rsidRPr="00464EFE" w:rsidRDefault="00B62FC1" w:rsidP="006D5698">
            <w:pPr>
              <w:rPr>
                <w:rFonts w:ascii="Arial" w:hAnsi="Arial" w:cs="Arial"/>
                <w:b/>
              </w:rPr>
            </w:pPr>
            <w:r w:rsidRPr="00A227D8">
              <w:rPr>
                <w:rFonts w:ascii="Arial" w:hAnsi="Arial" w:cs="Arial"/>
                <w:b/>
              </w:rPr>
              <w:t>Description of proposal</w:t>
            </w:r>
          </w:p>
        </w:tc>
      </w:tr>
      <w:tr w:rsidR="00B62FC1" w:rsidRPr="00464EFE" w:rsidTr="38B641A1">
        <w:tc>
          <w:tcPr>
            <w:tcW w:w="9493" w:type="dxa"/>
          </w:tcPr>
          <w:p w:rsidR="00B62FC1" w:rsidRPr="00464EFE" w:rsidRDefault="00B62FC1" w:rsidP="00174F8B">
            <w:pPr>
              <w:rPr>
                <w:rFonts w:ascii="Arial" w:hAnsi="Arial" w:cs="Arial"/>
              </w:rPr>
            </w:pPr>
          </w:p>
          <w:p w:rsidR="004C2548" w:rsidRDefault="38B641A1" w:rsidP="00395F40">
            <w:pPr>
              <w:rPr>
                <w:rFonts w:ascii="Arial" w:eastAsia="Times New Roman" w:hAnsi="Arial" w:cs="Arial"/>
                <w:color w:val="000000" w:themeColor="text1"/>
                <w:lang w:eastAsia="en-GB"/>
              </w:rPr>
            </w:pPr>
            <w:r w:rsidRPr="38B641A1">
              <w:rPr>
                <w:rFonts w:ascii="Arial" w:eastAsia="Times New Roman" w:hAnsi="Arial" w:cs="Arial"/>
                <w:color w:val="000000" w:themeColor="text1"/>
                <w:lang w:eastAsia="en-GB"/>
              </w:rPr>
              <w:t xml:space="preserve">The service was originally commissioned as a collective advocacy for carers and service users, and through time it has lost its collective advocacy element but remains the only MH specific voice of carers and MH service users within Argyll and Bute. </w:t>
            </w:r>
          </w:p>
          <w:p w:rsidR="00C07475" w:rsidRDefault="00C07475" w:rsidP="001C117A">
            <w:pPr>
              <w:spacing w:after="160" w:line="259" w:lineRule="auto"/>
              <w:rPr>
                <w:rFonts w:ascii="Arial" w:hAnsi="Arial" w:cs="Arial"/>
              </w:rPr>
            </w:pPr>
          </w:p>
          <w:p w:rsidR="00C07475" w:rsidRDefault="001C117A" w:rsidP="001C117A">
            <w:pPr>
              <w:spacing w:after="160" w:line="259" w:lineRule="auto"/>
              <w:rPr>
                <w:rFonts w:ascii="Arial" w:hAnsi="Arial" w:cs="Arial"/>
              </w:rPr>
            </w:pPr>
            <w:r w:rsidRPr="0039071F">
              <w:rPr>
                <w:rFonts w:ascii="Arial" w:hAnsi="Arial" w:cs="Arial"/>
              </w:rPr>
              <w:lastRenderedPageBreak/>
              <w:t xml:space="preserve">ACUMEN is committed to putting people with lived experience at the centre of designing and delivering mental health services in Scotland to ensure that they meet the needs of the people who use them. People with a lived experience of mental health issues, and their families and carers, hold unique insights into how services can best respond to Scotland’s mental health needs. This is true not just of health care but in many other domains including education, employment, housing, and family services. </w:t>
            </w:r>
            <w:r>
              <w:rPr>
                <w:rFonts w:ascii="Arial" w:hAnsi="Arial" w:cs="Arial"/>
              </w:rPr>
              <w:br/>
            </w:r>
          </w:p>
          <w:p w:rsidR="00C07475" w:rsidRDefault="001C117A" w:rsidP="001C117A">
            <w:pPr>
              <w:spacing w:after="160" w:line="259" w:lineRule="auto"/>
              <w:rPr>
                <w:rFonts w:ascii="Arial" w:hAnsi="Arial" w:cs="Arial"/>
              </w:rPr>
            </w:pPr>
            <w:r w:rsidRPr="0039071F">
              <w:rPr>
                <w:rFonts w:ascii="Arial" w:hAnsi="Arial" w:cs="Arial"/>
              </w:rPr>
              <w:t xml:space="preserve">People’s experience in mental health in Scotland have been witness to decisions made on their behalf, often without consultation. This has meant that a system of inequity is embossed on service delivery and representation throughout Scotland. </w:t>
            </w:r>
            <w:r>
              <w:rPr>
                <w:rFonts w:ascii="Arial" w:hAnsi="Arial" w:cs="Arial"/>
              </w:rPr>
              <w:br/>
            </w:r>
          </w:p>
          <w:p w:rsidR="001C117A" w:rsidRPr="001C117A" w:rsidRDefault="001C117A" w:rsidP="001C117A">
            <w:pPr>
              <w:spacing w:after="160" w:line="259" w:lineRule="auto"/>
              <w:rPr>
                <w:rFonts w:ascii="Arial" w:hAnsi="Arial" w:cs="Arial"/>
              </w:rPr>
            </w:pPr>
            <w:r w:rsidRPr="0039071F">
              <w:rPr>
                <w:rFonts w:ascii="Arial" w:hAnsi="Arial" w:cs="Arial"/>
              </w:rPr>
              <w:t xml:space="preserve">ACUMEN </w:t>
            </w:r>
            <w:r>
              <w:rPr>
                <w:rFonts w:ascii="Arial" w:hAnsi="Arial" w:cs="Arial"/>
              </w:rPr>
              <w:t>ensures that</w:t>
            </w:r>
            <w:r w:rsidRPr="0039071F">
              <w:rPr>
                <w:rFonts w:ascii="Arial" w:hAnsi="Arial" w:cs="Arial"/>
              </w:rPr>
              <w:t xml:space="preserve"> people are placed at the centre of mental health policy and practice change by engaging them as partners in co-design and co-production. Genuine engagement: enables people to be</w:t>
            </w:r>
            <w:r>
              <w:rPr>
                <w:rFonts w:ascii="Arial" w:hAnsi="Arial" w:cs="Arial"/>
              </w:rPr>
              <w:t xml:space="preserve"> able</w:t>
            </w:r>
            <w:r w:rsidRPr="0039071F">
              <w:rPr>
                <w:rFonts w:ascii="Arial" w:hAnsi="Arial" w:cs="Arial"/>
              </w:rPr>
              <w:t xml:space="preserve"> to take an active role in shaping the way in which services are planned, delivered, and evaluated.</w:t>
            </w:r>
          </w:p>
          <w:p w:rsidR="00395F40" w:rsidRPr="00395F40" w:rsidRDefault="38B641A1" w:rsidP="00395F40">
            <w:pPr>
              <w:rPr>
                <w:rFonts w:ascii="Arial" w:eastAsia="Times New Roman" w:hAnsi="Arial" w:cs="Arial"/>
                <w:color w:val="000000"/>
                <w:lang w:eastAsia="en-GB"/>
              </w:rPr>
            </w:pPr>
            <w:r w:rsidRPr="38B641A1">
              <w:rPr>
                <w:rFonts w:ascii="Arial" w:eastAsia="Times New Roman" w:hAnsi="Arial" w:cs="Arial"/>
                <w:color w:val="000000" w:themeColor="text1"/>
                <w:lang w:eastAsia="en-GB"/>
              </w:rPr>
              <w:t>This service has not had a service review for some time and no SLA can be located. The annual cost of this service is £41,488 per annum.</w:t>
            </w:r>
          </w:p>
          <w:p w:rsidR="00174F8B" w:rsidRPr="00395F40" w:rsidRDefault="00174F8B" w:rsidP="00174F8B">
            <w:pPr>
              <w:rPr>
                <w:rFonts w:ascii="Arial" w:hAnsi="Arial" w:cs="Arial"/>
              </w:rPr>
            </w:pPr>
          </w:p>
          <w:p w:rsidR="00C07475" w:rsidRDefault="38B641A1" w:rsidP="00174F8B">
            <w:pPr>
              <w:rPr>
                <w:rFonts w:ascii="Arial" w:eastAsia="Times New Roman" w:hAnsi="Arial" w:cs="Arial"/>
                <w:color w:val="000000" w:themeColor="text1"/>
                <w:lang w:eastAsia="en-GB"/>
              </w:rPr>
            </w:pPr>
            <w:r w:rsidRPr="38B641A1">
              <w:rPr>
                <w:rFonts w:ascii="Arial" w:eastAsia="Times New Roman" w:hAnsi="Arial" w:cs="Arial"/>
                <w:color w:val="000000" w:themeColor="text1"/>
                <w:lang w:eastAsia="en-GB"/>
              </w:rPr>
              <w:t xml:space="preserve">The service currently supports carers to access national and Local MH forums, supports and ensures collaboration across third sector services and groups to support the mental health agenda, works with statutory services to ensure service user voice inputs to policy and services, works alongside </w:t>
            </w:r>
            <w:r w:rsidR="00C07475">
              <w:rPr>
                <w:rFonts w:ascii="Arial" w:eastAsia="Times New Roman" w:hAnsi="Arial" w:cs="Arial"/>
                <w:color w:val="000000" w:themeColor="text1"/>
                <w:lang w:eastAsia="en-GB"/>
              </w:rPr>
              <w:t xml:space="preserve">see me and our voices workshops. </w:t>
            </w:r>
            <w:r w:rsidRPr="38B641A1">
              <w:rPr>
                <w:rFonts w:ascii="Arial" w:eastAsia="Times New Roman" w:hAnsi="Arial" w:cs="Arial"/>
                <w:color w:val="000000" w:themeColor="text1"/>
                <w:lang w:eastAsia="en-GB"/>
              </w:rPr>
              <w:t xml:space="preserve"> </w:t>
            </w:r>
          </w:p>
          <w:p w:rsidR="00C07475" w:rsidRDefault="00C07475" w:rsidP="00174F8B">
            <w:pPr>
              <w:rPr>
                <w:rFonts w:ascii="Arial" w:eastAsia="Times New Roman" w:hAnsi="Arial" w:cs="Arial"/>
                <w:color w:val="000000" w:themeColor="text1"/>
                <w:lang w:eastAsia="en-GB"/>
              </w:rPr>
            </w:pPr>
          </w:p>
          <w:p w:rsidR="00C07475" w:rsidRDefault="00C07475" w:rsidP="00174F8B">
            <w:pPr>
              <w:rPr>
                <w:rFonts w:ascii="Arial" w:eastAsia="Times New Roman" w:hAnsi="Arial" w:cs="Arial"/>
                <w:color w:val="000000" w:themeColor="text1"/>
                <w:lang w:eastAsia="en-GB"/>
              </w:rPr>
            </w:pPr>
          </w:p>
          <w:p w:rsidR="00395F40" w:rsidRDefault="38B641A1" w:rsidP="00174F8B">
            <w:pPr>
              <w:rPr>
                <w:rFonts w:ascii="Arial" w:eastAsia="Times New Roman" w:hAnsi="Arial" w:cs="Arial"/>
                <w:color w:val="000000"/>
                <w:lang w:eastAsia="en-GB"/>
              </w:rPr>
            </w:pPr>
            <w:r w:rsidRPr="38B641A1">
              <w:rPr>
                <w:rFonts w:ascii="Arial" w:eastAsia="Times New Roman" w:hAnsi="Arial" w:cs="Arial"/>
                <w:color w:val="000000" w:themeColor="text1"/>
                <w:lang w:eastAsia="en-GB"/>
              </w:rPr>
              <w:t>There is no statutory requirement to provide this service in its’ current format, and all statutory duties required through the Carers (Scotland) Act 2016 and Mental Health (Care and Treatment) Act will be provided via existing contracts across Argyll and Bute, commissioned through local Advocacy Services and Carers Groups.</w:t>
            </w:r>
          </w:p>
          <w:p w:rsidR="001C2968" w:rsidRDefault="007E6E61" w:rsidP="001C2968">
            <w:pPr>
              <w:rPr>
                <w:rFonts w:ascii="Arial" w:eastAsia="Times New Roman" w:hAnsi="Arial" w:cs="Arial"/>
                <w:color w:val="000000"/>
                <w:lang w:eastAsia="en-GB"/>
              </w:rPr>
            </w:pPr>
            <w:r>
              <w:br/>
            </w:r>
            <w:r w:rsidR="38B641A1" w:rsidRPr="38B641A1">
              <w:rPr>
                <w:rFonts w:ascii="Arial" w:eastAsia="Times New Roman" w:hAnsi="Arial" w:cs="Arial"/>
                <w:color w:val="000000" w:themeColor="text1"/>
                <w:lang w:eastAsia="en-GB"/>
              </w:rPr>
              <w:t>In order to streamline resources across Adult Services, services users and carers will be signposted to local advocacy services, carers groups</w:t>
            </w:r>
            <w:r w:rsidR="00B07045">
              <w:rPr>
                <w:rFonts w:ascii="Arial" w:eastAsia="Times New Roman" w:hAnsi="Arial" w:cs="Arial"/>
                <w:color w:val="000000" w:themeColor="text1"/>
                <w:lang w:eastAsia="en-GB"/>
              </w:rPr>
              <w:t>, local MH forums</w:t>
            </w:r>
            <w:r w:rsidR="38B641A1" w:rsidRPr="38B641A1">
              <w:rPr>
                <w:rFonts w:ascii="Arial" w:eastAsia="Times New Roman" w:hAnsi="Arial" w:cs="Arial"/>
                <w:color w:val="000000" w:themeColor="text1"/>
                <w:lang w:eastAsia="en-GB"/>
              </w:rPr>
              <w:t xml:space="preserve"> and national mental health organisations where available and appropriate.</w:t>
            </w:r>
            <w:r w:rsidR="00550755">
              <w:rPr>
                <w:rFonts w:ascii="Arial" w:eastAsia="Times New Roman" w:hAnsi="Arial" w:cs="Arial"/>
                <w:color w:val="000000" w:themeColor="text1"/>
                <w:lang w:eastAsia="en-GB"/>
              </w:rPr>
              <w:t xml:space="preserve"> This would</w:t>
            </w:r>
            <w:r w:rsidR="00C07475">
              <w:rPr>
                <w:rFonts w:ascii="Arial" w:eastAsia="Times New Roman" w:hAnsi="Arial" w:cs="Arial"/>
                <w:color w:val="000000" w:themeColor="text1"/>
                <w:lang w:eastAsia="en-GB"/>
              </w:rPr>
              <w:t xml:space="preserve"> ensure that service users and their carers have full access to the same services but in a more streamlined format.</w:t>
            </w:r>
            <w:r w:rsidR="00550755">
              <w:rPr>
                <w:rFonts w:ascii="Arial" w:eastAsia="Times New Roman" w:hAnsi="Arial" w:cs="Arial"/>
                <w:color w:val="000000" w:themeColor="text1"/>
                <w:lang w:eastAsia="en-GB"/>
              </w:rPr>
              <w:t xml:space="preserve"> However, transitional arrangements to support the transfer of care may exacerbate existing mental </w:t>
            </w:r>
            <w:r w:rsidR="00550755">
              <w:rPr>
                <w:rFonts w:ascii="Arial" w:eastAsia="Times New Roman" w:hAnsi="Arial" w:cs="Arial"/>
                <w:color w:val="000000" w:themeColor="text1"/>
                <w:lang w:eastAsia="en-GB"/>
              </w:rPr>
              <w:lastRenderedPageBreak/>
              <w:t>health issues for those who use the service and risk some people becoming socially isolated. These factors should be considered.</w:t>
            </w:r>
          </w:p>
          <w:p w:rsidR="00395F40" w:rsidRPr="00395F40" w:rsidRDefault="00395F40" w:rsidP="00395F40">
            <w:pPr>
              <w:rPr>
                <w:rFonts w:ascii="Arial" w:eastAsia="Times New Roman" w:hAnsi="Arial" w:cs="Arial"/>
                <w:color w:val="000000"/>
                <w:lang w:eastAsia="en-GB"/>
              </w:rPr>
            </w:pPr>
          </w:p>
          <w:p w:rsidR="00395F40" w:rsidRPr="00464EFE" w:rsidRDefault="00395F40" w:rsidP="00174F8B">
            <w:pPr>
              <w:rPr>
                <w:rFonts w:ascii="Arial" w:hAnsi="Arial" w:cs="Arial"/>
              </w:rPr>
            </w:pPr>
          </w:p>
        </w:tc>
      </w:tr>
    </w:tbl>
    <w:p w:rsidR="00B62FC1" w:rsidRPr="006A1C33" w:rsidRDefault="00B62FC1" w:rsidP="00B62FC1">
      <w:pPr>
        <w:rPr>
          <w:rFonts w:ascii="Arial" w:hAnsi="Arial" w:cs="Arial"/>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62FC1" w:rsidRPr="00464EFE" w:rsidTr="00464EFE">
        <w:tc>
          <w:tcPr>
            <w:tcW w:w="9493" w:type="dxa"/>
          </w:tcPr>
          <w:p w:rsidR="00B62FC1" w:rsidRPr="00464EFE" w:rsidRDefault="00A21E3D" w:rsidP="006D5698">
            <w:pPr>
              <w:rPr>
                <w:rFonts w:ascii="Arial" w:hAnsi="Arial" w:cs="Arial"/>
                <w:b/>
              </w:rPr>
            </w:pPr>
            <w:r w:rsidRPr="00464EFE">
              <w:rPr>
                <w:rFonts w:ascii="Arial" w:hAnsi="Arial" w:cs="Arial"/>
                <w:b/>
              </w:rPr>
              <w:t>HSCP Strategic Priorities to which the proposal contributes</w:t>
            </w:r>
          </w:p>
        </w:tc>
      </w:tr>
      <w:tr w:rsidR="00B62FC1" w:rsidRPr="00464EFE" w:rsidTr="00464EFE">
        <w:tc>
          <w:tcPr>
            <w:tcW w:w="9493" w:type="dxa"/>
          </w:tcPr>
          <w:p w:rsidR="00395F40" w:rsidRPr="003B1B0E" w:rsidRDefault="00395F40" w:rsidP="00395F40">
            <w:pPr>
              <w:widowControl/>
              <w:spacing w:line="0" w:lineRule="atLeast"/>
              <w:rPr>
                <w:rFonts w:ascii="Arial" w:eastAsia="Arial" w:hAnsi="Arial" w:cs="Arial"/>
                <w:szCs w:val="20"/>
                <w:lang w:eastAsia="en-GB"/>
              </w:rPr>
            </w:pPr>
            <w:r w:rsidRPr="003B1B0E">
              <w:rPr>
                <w:rFonts w:ascii="Arial" w:eastAsia="Arial" w:hAnsi="Arial" w:cs="Arial"/>
                <w:szCs w:val="20"/>
                <w:lang w:eastAsia="en-GB"/>
              </w:rPr>
              <w:t>Makes the best use of the available facilities, people and other resources</w:t>
            </w:r>
          </w:p>
          <w:p w:rsidR="00395F40" w:rsidRPr="00464EFE" w:rsidRDefault="00395F40" w:rsidP="00395F40">
            <w:pPr>
              <w:rPr>
                <w:rFonts w:ascii="Arial" w:hAnsi="Arial" w:cs="Arial"/>
                <w:b/>
              </w:rPr>
            </w:pPr>
          </w:p>
          <w:p w:rsidR="00B62FC1" w:rsidRPr="00464EFE" w:rsidRDefault="00395F40" w:rsidP="00395F40">
            <w:pPr>
              <w:rPr>
                <w:rFonts w:ascii="Arial" w:hAnsi="Arial" w:cs="Arial"/>
                <w:b/>
              </w:rPr>
            </w:pPr>
            <w:r>
              <w:rPr>
                <w:rFonts w:ascii="Arial" w:hAnsi="Arial" w:cs="Arial"/>
                <w:lang w:eastAsia="en-GB"/>
              </w:rPr>
              <w:t>Efficiently and effectively manage all resources to deliver Best Value.</w:t>
            </w:r>
          </w:p>
        </w:tc>
      </w:tr>
    </w:tbl>
    <w:p w:rsidR="00B62FC1" w:rsidRPr="00675C29" w:rsidRDefault="00B62FC1" w:rsidP="00B62FC1">
      <w:pPr>
        <w:rPr>
          <w:rFonts w:ascii="Arial" w:hAnsi="Arial" w:cs="Arial"/>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985"/>
      </w:tblGrid>
      <w:tr w:rsidR="00B62FC1" w:rsidRPr="00464EFE" w:rsidTr="00464EFE">
        <w:tc>
          <w:tcPr>
            <w:tcW w:w="9493" w:type="dxa"/>
            <w:gridSpan w:val="2"/>
          </w:tcPr>
          <w:p w:rsidR="00A477ED" w:rsidRPr="00464EFE" w:rsidRDefault="00DB5C72" w:rsidP="00A81748">
            <w:pPr>
              <w:rPr>
                <w:rFonts w:ascii="Arial" w:hAnsi="Arial" w:cs="Arial"/>
                <w:bCs/>
              </w:rPr>
            </w:pPr>
            <w:r w:rsidRPr="00464EFE">
              <w:rPr>
                <w:rFonts w:ascii="Arial" w:hAnsi="Arial" w:cs="Arial"/>
                <w:b/>
                <w:bCs/>
              </w:rPr>
              <w:t xml:space="preserve">Lead officer </w:t>
            </w:r>
            <w:r w:rsidR="00174F8B" w:rsidRPr="00464EFE">
              <w:rPr>
                <w:rFonts w:ascii="Arial" w:hAnsi="Arial" w:cs="Arial"/>
                <w:b/>
                <w:bCs/>
              </w:rPr>
              <w:t>details</w:t>
            </w:r>
          </w:p>
        </w:tc>
      </w:tr>
      <w:tr w:rsidR="00395F40" w:rsidRPr="00464EFE" w:rsidTr="00464EFE">
        <w:trPr>
          <w:trHeight w:val="139"/>
        </w:trPr>
        <w:tc>
          <w:tcPr>
            <w:tcW w:w="4508" w:type="dxa"/>
          </w:tcPr>
          <w:p w:rsidR="00395F40" w:rsidRPr="00464EFE" w:rsidRDefault="00395F40" w:rsidP="00395F40">
            <w:pPr>
              <w:rPr>
                <w:rFonts w:ascii="Arial" w:eastAsia="Times New Roman" w:hAnsi="Arial" w:cs="Arial"/>
                <w:bCs/>
                <w:sz w:val="20"/>
                <w:szCs w:val="20"/>
                <w:lang w:val="en-US"/>
              </w:rPr>
            </w:pPr>
            <w:r w:rsidRPr="00464EFE">
              <w:rPr>
                <w:rFonts w:ascii="Arial" w:hAnsi="Arial" w:cs="Arial"/>
                <w:bCs/>
              </w:rPr>
              <w:t>Name of lead officer</w:t>
            </w:r>
          </w:p>
        </w:tc>
        <w:tc>
          <w:tcPr>
            <w:tcW w:w="4985" w:type="dxa"/>
          </w:tcPr>
          <w:p w:rsidR="00395F40" w:rsidRPr="00464EFE" w:rsidRDefault="00395F40" w:rsidP="00395F40">
            <w:pPr>
              <w:rPr>
                <w:rFonts w:ascii="Arial" w:hAnsi="Arial" w:cs="Arial"/>
                <w:b/>
                <w:bCs/>
              </w:rPr>
            </w:pPr>
            <w:r>
              <w:rPr>
                <w:rFonts w:ascii="Arial" w:hAnsi="Arial" w:cs="Arial"/>
                <w:b/>
                <w:bCs/>
              </w:rPr>
              <w:t>Julie Lusk</w:t>
            </w:r>
          </w:p>
        </w:tc>
      </w:tr>
      <w:tr w:rsidR="00395F40" w:rsidRPr="00464EFE" w:rsidTr="00464EFE">
        <w:trPr>
          <w:trHeight w:val="137"/>
        </w:trPr>
        <w:tc>
          <w:tcPr>
            <w:tcW w:w="4508" w:type="dxa"/>
          </w:tcPr>
          <w:p w:rsidR="00395F40" w:rsidRPr="00464EFE" w:rsidRDefault="00395F40" w:rsidP="00395F40">
            <w:pPr>
              <w:rPr>
                <w:rFonts w:ascii="Arial" w:eastAsia="Times New Roman" w:hAnsi="Arial" w:cs="Arial"/>
                <w:bCs/>
                <w:sz w:val="20"/>
                <w:szCs w:val="20"/>
                <w:lang w:val="en-US"/>
              </w:rPr>
            </w:pPr>
            <w:r w:rsidRPr="00464EFE">
              <w:rPr>
                <w:rFonts w:ascii="Arial" w:hAnsi="Arial" w:cs="Arial"/>
                <w:bCs/>
              </w:rPr>
              <w:t>Job title</w:t>
            </w:r>
          </w:p>
        </w:tc>
        <w:tc>
          <w:tcPr>
            <w:tcW w:w="4985" w:type="dxa"/>
          </w:tcPr>
          <w:p w:rsidR="00395F40" w:rsidRPr="00464EFE" w:rsidRDefault="00395F40" w:rsidP="00395F40">
            <w:pPr>
              <w:rPr>
                <w:rFonts w:ascii="Arial" w:hAnsi="Arial" w:cs="Arial"/>
                <w:b/>
                <w:bCs/>
              </w:rPr>
            </w:pPr>
            <w:r>
              <w:rPr>
                <w:rFonts w:ascii="Arial" w:hAnsi="Arial" w:cs="Arial"/>
                <w:b/>
                <w:bCs/>
              </w:rPr>
              <w:t>Head of Service – Mental Health, Addictions, Learning Disability/Transitions</w:t>
            </w:r>
          </w:p>
        </w:tc>
      </w:tr>
      <w:tr w:rsidR="00395F40" w:rsidRPr="00464EFE" w:rsidTr="00464EFE">
        <w:trPr>
          <w:trHeight w:val="137"/>
        </w:trPr>
        <w:tc>
          <w:tcPr>
            <w:tcW w:w="4508" w:type="dxa"/>
          </w:tcPr>
          <w:p w:rsidR="00395F40" w:rsidRPr="00464EFE" w:rsidRDefault="00395F40" w:rsidP="00395F40">
            <w:pPr>
              <w:rPr>
                <w:rFonts w:ascii="Arial" w:eastAsia="Times New Roman" w:hAnsi="Arial" w:cs="Arial"/>
                <w:bCs/>
                <w:sz w:val="20"/>
                <w:szCs w:val="20"/>
                <w:lang w:val="en-US"/>
              </w:rPr>
            </w:pPr>
            <w:r w:rsidRPr="00464EFE">
              <w:rPr>
                <w:rFonts w:ascii="Arial" w:hAnsi="Arial" w:cs="Arial"/>
                <w:bCs/>
              </w:rPr>
              <w:t>Department</w:t>
            </w:r>
          </w:p>
        </w:tc>
        <w:tc>
          <w:tcPr>
            <w:tcW w:w="4985" w:type="dxa"/>
          </w:tcPr>
          <w:p w:rsidR="00395F40" w:rsidRPr="00464EFE" w:rsidRDefault="00395F40" w:rsidP="00395F40">
            <w:pPr>
              <w:rPr>
                <w:rFonts w:ascii="Arial" w:hAnsi="Arial" w:cs="Arial"/>
                <w:b/>
                <w:bCs/>
              </w:rPr>
            </w:pPr>
            <w:r>
              <w:rPr>
                <w:rFonts w:ascii="Arial" w:hAnsi="Arial" w:cs="Arial"/>
                <w:b/>
                <w:bCs/>
              </w:rPr>
              <w:t>HSCP</w:t>
            </w:r>
          </w:p>
        </w:tc>
      </w:tr>
      <w:tr w:rsidR="00395F40" w:rsidRPr="00464EFE" w:rsidTr="00464EFE">
        <w:trPr>
          <w:trHeight w:val="45"/>
        </w:trPr>
        <w:tc>
          <w:tcPr>
            <w:tcW w:w="9493" w:type="dxa"/>
            <w:gridSpan w:val="2"/>
          </w:tcPr>
          <w:p w:rsidR="00395F40" w:rsidRPr="00464EFE" w:rsidRDefault="00395F40" w:rsidP="00395F40">
            <w:pPr>
              <w:rPr>
                <w:rFonts w:ascii="Arial" w:hAnsi="Arial" w:cs="Arial"/>
                <w:bCs/>
              </w:rPr>
            </w:pPr>
            <w:r w:rsidRPr="00464EFE">
              <w:rPr>
                <w:rFonts w:ascii="Arial" w:hAnsi="Arial" w:cs="Arial"/>
                <w:b/>
                <w:bCs/>
              </w:rPr>
              <w:t>Appropriate officer details</w:t>
            </w:r>
          </w:p>
        </w:tc>
      </w:tr>
      <w:tr w:rsidR="00395F40" w:rsidRPr="00464EFE" w:rsidTr="00464EFE">
        <w:trPr>
          <w:trHeight w:val="137"/>
        </w:trPr>
        <w:tc>
          <w:tcPr>
            <w:tcW w:w="4508" w:type="dxa"/>
          </w:tcPr>
          <w:p w:rsidR="00395F40" w:rsidRPr="00464EFE" w:rsidRDefault="00395F40" w:rsidP="00395F40">
            <w:pPr>
              <w:rPr>
                <w:rFonts w:ascii="Arial" w:eastAsia="Times New Roman" w:hAnsi="Arial" w:cs="Arial"/>
                <w:bCs/>
                <w:sz w:val="20"/>
                <w:szCs w:val="20"/>
                <w:lang w:val="en-US"/>
              </w:rPr>
            </w:pPr>
            <w:r w:rsidRPr="00464EFE">
              <w:rPr>
                <w:rFonts w:ascii="Arial" w:hAnsi="Arial" w:cs="Arial"/>
                <w:bCs/>
              </w:rPr>
              <w:t>Name of appropriate officer</w:t>
            </w:r>
          </w:p>
        </w:tc>
        <w:tc>
          <w:tcPr>
            <w:tcW w:w="4985" w:type="dxa"/>
          </w:tcPr>
          <w:p w:rsidR="00395F40" w:rsidRPr="00464EFE" w:rsidRDefault="00395F40" w:rsidP="00395F40">
            <w:pPr>
              <w:rPr>
                <w:rFonts w:ascii="Arial" w:hAnsi="Arial" w:cs="Arial"/>
                <w:b/>
                <w:bCs/>
              </w:rPr>
            </w:pPr>
            <w:r>
              <w:rPr>
                <w:rFonts w:ascii="Arial" w:hAnsi="Arial" w:cs="Arial"/>
                <w:b/>
                <w:bCs/>
              </w:rPr>
              <w:t>Nicola Gillespie</w:t>
            </w:r>
          </w:p>
        </w:tc>
      </w:tr>
      <w:tr w:rsidR="00395F40" w:rsidRPr="00464EFE" w:rsidTr="00464EFE">
        <w:trPr>
          <w:trHeight w:val="137"/>
        </w:trPr>
        <w:tc>
          <w:tcPr>
            <w:tcW w:w="4508" w:type="dxa"/>
          </w:tcPr>
          <w:p w:rsidR="00395F40" w:rsidRPr="00464EFE" w:rsidRDefault="00395F40" w:rsidP="00395F40">
            <w:pPr>
              <w:rPr>
                <w:rFonts w:ascii="Arial" w:hAnsi="Arial" w:cs="Arial"/>
                <w:bCs/>
              </w:rPr>
            </w:pPr>
            <w:r w:rsidRPr="00464EFE">
              <w:rPr>
                <w:rFonts w:ascii="Arial" w:hAnsi="Arial" w:cs="Arial"/>
                <w:bCs/>
              </w:rPr>
              <w:t>Job title</w:t>
            </w:r>
          </w:p>
        </w:tc>
        <w:tc>
          <w:tcPr>
            <w:tcW w:w="4985" w:type="dxa"/>
          </w:tcPr>
          <w:p w:rsidR="00395F40" w:rsidRPr="00464EFE" w:rsidRDefault="00395F40" w:rsidP="00395F40">
            <w:pPr>
              <w:rPr>
                <w:rFonts w:ascii="Arial" w:hAnsi="Arial" w:cs="Arial"/>
                <w:b/>
                <w:bCs/>
              </w:rPr>
            </w:pPr>
            <w:r>
              <w:rPr>
                <w:rFonts w:ascii="Arial" w:hAnsi="Arial" w:cs="Arial"/>
                <w:b/>
                <w:bCs/>
              </w:rPr>
              <w:t>Service Manager – Mental Health &amp; Addictions</w:t>
            </w:r>
          </w:p>
        </w:tc>
      </w:tr>
      <w:tr w:rsidR="00395F40" w:rsidRPr="00464EFE" w:rsidTr="00464EFE">
        <w:trPr>
          <w:trHeight w:val="137"/>
        </w:trPr>
        <w:tc>
          <w:tcPr>
            <w:tcW w:w="4508" w:type="dxa"/>
            <w:tcBorders>
              <w:bottom w:val="single" w:sz="4" w:space="0" w:color="auto"/>
            </w:tcBorders>
          </w:tcPr>
          <w:p w:rsidR="00395F40" w:rsidRPr="00464EFE" w:rsidRDefault="00395F40" w:rsidP="00395F40">
            <w:pPr>
              <w:rPr>
                <w:rFonts w:ascii="Arial" w:hAnsi="Arial" w:cs="Arial"/>
                <w:bCs/>
              </w:rPr>
            </w:pPr>
            <w:r w:rsidRPr="00464EFE">
              <w:rPr>
                <w:rFonts w:ascii="Arial" w:hAnsi="Arial" w:cs="Arial"/>
                <w:bCs/>
              </w:rPr>
              <w:t>Department</w:t>
            </w:r>
          </w:p>
        </w:tc>
        <w:tc>
          <w:tcPr>
            <w:tcW w:w="4985" w:type="dxa"/>
            <w:tcBorders>
              <w:bottom w:val="single" w:sz="4" w:space="0" w:color="auto"/>
            </w:tcBorders>
          </w:tcPr>
          <w:p w:rsidR="00395F40" w:rsidRPr="00464EFE" w:rsidRDefault="00395F40" w:rsidP="00395F40">
            <w:pPr>
              <w:rPr>
                <w:rFonts w:ascii="Arial" w:hAnsi="Arial" w:cs="Arial"/>
                <w:b/>
                <w:bCs/>
              </w:rPr>
            </w:pPr>
            <w:r>
              <w:rPr>
                <w:rFonts w:ascii="Arial" w:hAnsi="Arial" w:cs="Arial"/>
                <w:b/>
                <w:bCs/>
              </w:rPr>
              <w:t>HSCP</w:t>
            </w:r>
          </w:p>
        </w:tc>
      </w:tr>
      <w:tr w:rsidR="00395F40" w:rsidRPr="00464EFE" w:rsidTr="00464EFE">
        <w:trPr>
          <w:trHeight w:val="137"/>
        </w:trPr>
        <w:tc>
          <w:tcPr>
            <w:tcW w:w="9493" w:type="dxa"/>
            <w:gridSpan w:val="2"/>
            <w:tcBorders>
              <w:left w:val="nil"/>
              <w:bottom w:val="single" w:sz="4" w:space="0" w:color="auto"/>
              <w:right w:val="nil"/>
            </w:tcBorders>
          </w:tcPr>
          <w:p w:rsidR="00395F40" w:rsidRPr="00464EFE" w:rsidRDefault="00395F40" w:rsidP="00395F40">
            <w:pPr>
              <w:rPr>
                <w:rFonts w:ascii="Arial" w:hAnsi="Arial" w:cs="Arial"/>
                <w:b/>
                <w:bCs/>
              </w:rPr>
            </w:pPr>
          </w:p>
        </w:tc>
      </w:tr>
      <w:tr w:rsidR="00395F40" w:rsidRPr="00464EFE" w:rsidTr="00464EFE">
        <w:trPr>
          <w:trHeight w:val="137"/>
        </w:trPr>
        <w:tc>
          <w:tcPr>
            <w:tcW w:w="4508" w:type="dxa"/>
            <w:tcBorders>
              <w:left w:val="single" w:sz="4" w:space="0" w:color="auto"/>
              <w:bottom w:val="single" w:sz="4" w:space="0" w:color="auto"/>
            </w:tcBorders>
          </w:tcPr>
          <w:p w:rsidR="00395F40" w:rsidRPr="00464EFE" w:rsidRDefault="00395F40" w:rsidP="00395F40">
            <w:pPr>
              <w:rPr>
                <w:rFonts w:ascii="Arial" w:hAnsi="Arial" w:cs="Arial"/>
                <w:bCs/>
              </w:rPr>
            </w:pPr>
            <w:r w:rsidRPr="00464EFE">
              <w:rPr>
                <w:rFonts w:ascii="Arial" w:hAnsi="Arial" w:cs="Arial"/>
                <w:bCs/>
              </w:rPr>
              <w:t>Sign-off of EIA</w:t>
            </w:r>
          </w:p>
        </w:tc>
        <w:tc>
          <w:tcPr>
            <w:tcW w:w="4985" w:type="dxa"/>
          </w:tcPr>
          <w:p w:rsidR="00395F40" w:rsidRPr="00464EFE" w:rsidRDefault="00B07045" w:rsidP="00395F40">
            <w:pPr>
              <w:rPr>
                <w:rFonts w:ascii="Arial" w:hAnsi="Arial" w:cs="Arial"/>
                <w:bCs/>
              </w:rPr>
            </w:pPr>
            <w:r>
              <w:rPr>
                <w:noProof/>
                <w:lang w:eastAsia="en-GB"/>
              </w:rPr>
              <w:drawing>
                <wp:inline distT="0" distB="0" distL="0" distR="0" wp14:anchorId="3DCF1544" wp14:editId="4C6FB655">
                  <wp:extent cx="213360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33600" cy="657225"/>
                          </a:xfrm>
                          <a:prstGeom prst="rect">
                            <a:avLst/>
                          </a:prstGeom>
                        </pic:spPr>
                      </pic:pic>
                    </a:graphicData>
                  </a:graphic>
                </wp:inline>
              </w:drawing>
            </w:r>
          </w:p>
        </w:tc>
      </w:tr>
      <w:tr w:rsidR="00395F40" w:rsidRPr="00464EFE" w:rsidTr="00464EFE">
        <w:trPr>
          <w:trHeight w:val="137"/>
        </w:trPr>
        <w:tc>
          <w:tcPr>
            <w:tcW w:w="4508" w:type="dxa"/>
            <w:tcBorders>
              <w:top w:val="single" w:sz="4" w:space="0" w:color="auto"/>
              <w:left w:val="single" w:sz="4" w:space="0" w:color="auto"/>
              <w:bottom w:val="single" w:sz="4" w:space="0" w:color="auto"/>
            </w:tcBorders>
          </w:tcPr>
          <w:p w:rsidR="00395F40" w:rsidRPr="00464EFE" w:rsidRDefault="00395F40" w:rsidP="00395F40">
            <w:pPr>
              <w:rPr>
                <w:rFonts w:ascii="Arial" w:hAnsi="Arial" w:cs="Arial"/>
                <w:bCs/>
              </w:rPr>
            </w:pPr>
            <w:r w:rsidRPr="00464EFE">
              <w:rPr>
                <w:rFonts w:ascii="Arial" w:hAnsi="Arial" w:cs="Arial"/>
                <w:bCs/>
              </w:rPr>
              <w:t>Date of sign-off</w:t>
            </w:r>
          </w:p>
        </w:tc>
        <w:tc>
          <w:tcPr>
            <w:tcW w:w="4985" w:type="dxa"/>
          </w:tcPr>
          <w:p w:rsidR="00395F40" w:rsidRPr="00464EFE" w:rsidRDefault="00B07045" w:rsidP="00395F40">
            <w:pPr>
              <w:rPr>
                <w:rFonts w:ascii="Arial" w:hAnsi="Arial" w:cs="Arial"/>
                <w:b/>
                <w:bCs/>
              </w:rPr>
            </w:pPr>
            <w:r>
              <w:rPr>
                <w:rFonts w:ascii="Arial" w:hAnsi="Arial" w:cs="Arial"/>
                <w:b/>
                <w:bCs/>
              </w:rPr>
              <w:t>30/03/21</w:t>
            </w:r>
          </w:p>
        </w:tc>
      </w:tr>
    </w:tbl>
    <w:p w:rsidR="00B62FC1" w:rsidRDefault="00B62FC1" w:rsidP="00B62FC1">
      <w:pPr>
        <w:rPr>
          <w:rFonts w:ascii="Arial" w:hAnsi="Arial" w:cs="Arial"/>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62FC1" w:rsidRPr="00464EFE" w:rsidTr="00464EFE">
        <w:tc>
          <w:tcPr>
            <w:tcW w:w="9493" w:type="dxa"/>
          </w:tcPr>
          <w:p w:rsidR="00B62FC1" w:rsidRPr="00464EFE" w:rsidRDefault="00B62FC1" w:rsidP="006D5698">
            <w:pPr>
              <w:rPr>
                <w:rFonts w:ascii="Arial" w:hAnsi="Arial" w:cs="Arial"/>
                <w:b/>
              </w:rPr>
            </w:pPr>
            <w:r w:rsidRPr="00464EFE">
              <w:rPr>
                <w:rFonts w:ascii="Arial" w:hAnsi="Arial" w:cs="Arial"/>
                <w:b/>
              </w:rPr>
              <w:t>Who will deliver the proposal?</w:t>
            </w:r>
          </w:p>
        </w:tc>
      </w:tr>
      <w:tr w:rsidR="00B62FC1" w:rsidRPr="00464EFE" w:rsidTr="00464EFE">
        <w:tc>
          <w:tcPr>
            <w:tcW w:w="9493" w:type="dxa"/>
          </w:tcPr>
          <w:p w:rsidR="00B62FC1" w:rsidRPr="00464EFE" w:rsidRDefault="00395F40" w:rsidP="00CB79BC">
            <w:pPr>
              <w:rPr>
                <w:rFonts w:ascii="Arial" w:hAnsi="Arial" w:cs="Arial"/>
              </w:rPr>
            </w:pPr>
            <w:r>
              <w:rPr>
                <w:rFonts w:ascii="Arial" w:hAnsi="Arial" w:cs="Arial"/>
              </w:rPr>
              <w:t>Service Manager, Procurement &amp; Contract Management Team, Team Leader &amp; Service Improvement Officer</w:t>
            </w:r>
          </w:p>
          <w:p w:rsidR="00CB79BC" w:rsidRPr="00464EFE" w:rsidRDefault="00CB79BC" w:rsidP="00CB79BC">
            <w:pPr>
              <w:rPr>
                <w:rFonts w:ascii="Arial" w:hAnsi="Arial" w:cs="Arial"/>
              </w:rPr>
            </w:pPr>
          </w:p>
        </w:tc>
      </w:tr>
    </w:tbl>
    <w:p w:rsidR="00B62FC1" w:rsidRPr="00675C29" w:rsidRDefault="00B62FC1" w:rsidP="00B62FC1">
      <w:pPr>
        <w:rPr>
          <w:rFonts w:ascii="Arial" w:hAnsi="Arial" w:cs="Arial"/>
          <w:b/>
          <w:bCs/>
        </w:rPr>
      </w:pPr>
    </w:p>
    <w:p w:rsidR="00B62FC1" w:rsidRDefault="00B62FC1" w:rsidP="00B62FC1">
      <w:pPr>
        <w:jc w:val="center"/>
        <w:rPr>
          <w:rFonts w:ascii="Arial" w:hAnsi="Arial" w:cs="Arial"/>
          <w:b/>
          <w:color w:val="0070C0"/>
          <w:sz w:val="24"/>
          <w:szCs w:val="24"/>
        </w:rPr>
      </w:pPr>
      <w:r w:rsidRPr="00B62FC1">
        <w:rPr>
          <w:rFonts w:ascii="Arial" w:hAnsi="Arial" w:cs="Arial"/>
          <w:b/>
          <w:color w:val="0070C0"/>
        </w:rPr>
        <w:t xml:space="preserve">Section 2: Evidence used </w:t>
      </w:r>
      <w:r w:rsidR="00125EEC">
        <w:rPr>
          <w:rFonts w:ascii="Arial" w:hAnsi="Arial" w:cs="Arial"/>
          <w:b/>
          <w:color w:val="0070C0"/>
        </w:rPr>
        <w:t xml:space="preserve">in the course of carrying out </w:t>
      </w:r>
      <w:r w:rsidR="0034768E">
        <w:rPr>
          <w:rFonts w:ascii="Arial" w:hAnsi="Arial" w:cs="Arial"/>
          <w:b/>
          <w:color w:val="0070C0"/>
          <w:sz w:val="24"/>
          <w:szCs w:val="24"/>
        </w:rPr>
        <w:t>E</w:t>
      </w:r>
      <w:r w:rsidR="00A81748" w:rsidRPr="00A81748">
        <w:rPr>
          <w:rFonts w:ascii="Arial" w:hAnsi="Arial" w:cs="Arial"/>
          <w:b/>
          <w:color w:val="0070C0"/>
          <w:sz w:val="24"/>
          <w:szCs w:val="24"/>
        </w:rPr>
        <w:t>IA</w:t>
      </w:r>
    </w:p>
    <w:p w:rsidR="00CB79BC" w:rsidRPr="005D74E5" w:rsidRDefault="00CB79BC" w:rsidP="00B62FC1">
      <w:pPr>
        <w:jc w:val="center"/>
        <w:rPr>
          <w:rFonts w:ascii="Arial" w:hAnsi="Arial" w:cs="Arial"/>
          <w:b/>
          <w:color w:val="2F549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62FC1" w:rsidRPr="00464EFE" w:rsidTr="00464EFE">
        <w:tc>
          <w:tcPr>
            <w:tcW w:w="9493" w:type="dxa"/>
          </w:tcPr>
          <w:p w:rsidR="00B62FC1" w:rsidRPr="00464EFE" w:rsidRDefault="00B62FC1" w:rsidP="006D5698">
            <w:pPr>
              <w:rPr>
                <w:rFonts w:ascii="Arial" w:hAnsi="Arial" w:cs="Arial"/>
                <w:b/>
              </w:rPr>
            </w:pPr>
            <w:r w:rsidRPr="00464EFE">
              <w:rPr>
                <w:rFonts w:ascii="Arial" w:hAnsi="Arial" w:cs="Arial"/>
                <w:b/>
              </w:rPr>
              <w:t>Consultation / engagement</w:t>
            </w:r>
          </w:p>
        </w:tc>
      </w:tr>
      <w:tr w:rsidR="00B62FC1" w:rsidRPr="00464EFE" w:rsidTr="00464EFE">
        <w:tc>
          <w:tcPr>
            <w:tcW w:w="9493" w:type="dxa"/>
          </w:tcPr>
          <w:p w:rsidR="00792037" w:rsidRPr="001C117A" w:rsidRDefault="00792037" w:rsidP="001C117A">
            <w:pPr>
              <w:pStyle w:val="ListParagraph"/>
              <w:numPr>
                <w:ilvl w:val="0"/>
                <w:numId w:val="27"/>
              </w:numPr>
              <w:rPr>
                <w:rFonts w:ascii="Arial" w:hAnsi="Arial" w:cs="Arial"/>
              </w:rPr>
            </w:pPr>
            <w:r w:rsidRPr="001C117A">
              <w:rPr>
                <w:rFonts w:ascii="Arial" w:hAnsi="Arial" w:cs="Arial"/>
              </w:rPr>
              <w:t xml:space="preserve">Initial </w:t>
            </w:r>
            <w:r w:rsidR="001C117A" w:rsidRPr="001C117A">
              <w:rPr>
                <w:rFonts w:ascii="Arial" w:hAnsi="Arial" w:cs="Arial"/>
              </w:rPr>
              <w:t>engagement has</w:t>
            </w:r>
            <w:r w:rsidRPr="001C117A">
              <w:rPr>
                <w:rFonts w:ascii="Arial" w:hAnsi="Arial" w:cs="Arial"/>
              </w:rPr>
              <w:t xml:space="preserve"> taken place with the organisation as part of the annual review process of grant funding</w:t>
            </w:r>
            <w:r w:rsidR="001C117A" w:rsidRPr="001C117A">
              <w:rPr>
                <w:rFonts w:ascii="Arial" w:hAnsi="Arial" w:cs="Arial"/>
              </w:rPr>
              <w:t>. ACUMEN have submitted an annual grant report as part of this process and have been notified that the service is up for review and decommissioning of the service is being considered as a potential savings option.</w:t>
            </w:r>
          </w:p>
          <w:p w:rsidR="004D34A9" w:rsidRPr="001C117A" w:rsidRDefault="004D34A9" w:rsidP="001C117A">
            <w:pPr>
              <w:pStyle w:val="ListParagraph"/>
              <w:numPr>
                <w:ilvl w:val="0"/>
                <w:numId w:val="27"/>
              </w:numPr>
              <w:rPr>
                <w:rFonts w:ascii="Arial" w:hAnsi="Arial" w:cs="Arial"/>
              </w:rPr>
            </w:pPr>
            <w:r w:rsidRPr="001C117A">
              <w:rPr>
                <w:rFonts w:ascii="Arial" w:hAnsi="Arial" w:cs="Arial"/>
              </w:rPr>
              <w:lastRenderedPageBreak/>
              <w:t>Savings option has been included as part of A&amp;B HSCP’s budget consultation</w:t>
            </w:r>
          </w:p>
          <w:p w:rsidR="001C117A" w:rsidRPr="001C117A" w:rsidRDefault="001C117A" w:rsidP="001C117A">
            <w:pPr>
              <w:pStyle w:val="ListParagraph"/>
              <w:numPr>
                <w:ilvl w:val="0"/>
                <w:numId w:val="27"/>
              </w:numPr>
              <w:rPr>
                <w:rFonts w:ascii="Arial" w:hAnsi="Arial" w:cs="Arial"/>
              </w:rPr>
            </w:pPr>
            <w:r w:rsidRPr="001C117A">
              <w:rPr>
                <w:rFonts w:ascii="Arial" w:hAnsi="Arial" w:cs="Arial"/>
              </w:rPr>
              <w:t>A review meeting took place</w:t>
            </w:r>
            <w:r>
              <w:rPr>
                <w:rFonts w:ascii="Arial" w:hAnsi="Arial" w:cs="Arial"/>
              </w:rPr>
              <w:t xml:space="preserve"> with ACUMEN</w:t>
            </w:r>
            <w:r w:rsidRPr="001C117A">
              <w:rPr>
                <w:rFonts w:ascii="Arial" w:hAnsi="Arial" w:cs="Arial"/>
              </w:rPr>
              <w:t xml:space="preserve"> on the 23</w:t>
            </w:r>
            <w:r w:rsidRPr="001C117A">
              <w:rPr>
                <w:rFonts w:ascii="Arial" w:hAnsi="Arial" w:cs="Arial"/>
                <w:vertAlign w:val="superscript"/>
              </w:rPr>
              <w:t>rd</w:t>
            </w:r>
            <w:r w:rsidRPr="001C117A">
              <w:rPr>
                <w:rFonts w:ascii="Arial" w:hAnsi="Arial" w:cs="Arial"/>
              </w:rPr>
              <w:t xml:space="preserve"> of March </w:t>
            </w:r>
            <w:r>
              <w:rPr>
                <w:rFonts w:ascii="Arial" w:hAnsi="Arial" w:cs="Arial"/>
              </w:rPr>
              <w:t xml:space="preserve">2021 </w:t>
            </w:r>
            <w:r w:rsidRPr="001C117A">
              <w:rPr>
                <w:rFonts w:ascii="Arial" w:hAnsi="Arial" w:cs="Arial"/>
              </w:rPr>
              <w:t xml:space="preserve">to discuss the </w:t>
            </w:r>
            <w:r w:rsidR="002A0262">
              <w:rPr>
                <w:rFonts w:ascii="Arial" w:hAnsi="Arial" w:cs="Arial"/>
              </w:rPr>
              <w:t xml:space="preserve">review of the service and the proposals to decommission as part of the savings options being considered. The initial EIA that was published was completed prior to the Annual Grant report being submitted, therefore did not provide accurate detail on the impact of the savings proposals on the service users and staff involved. The </w:t>
            </w:r>
            <w:r w:rsidR="006A3A10">
              <w:rPr>
                <w:rFonts w:ascii="Arial" w:hAnsi="Arial" w:cs="Arial"/>
              </w:rPr>
              <w:t xml:space="preserve">purpose of the </w:t>
            </w:r>
            <w:r w:rsidR="002A0262">
              <w:rPr>
                <w:rFonts w:ascii="Arial" w:hAnsi="Arial" w:cs="Arial"/>
              </w:rPr>
              <w:t>review meeting</w:t>
            </w:r>
            <w:r w:rsidRPr="001C117A">
              <w:rPr>
                <w:rFonts w:ascii="Arial" w:hAnsi="Arial" w:cs="Arial"/>
              </w:rPr>
              <w:t xml:space="preserve"> </w:t>
            </w:r>
            <w:r w:rsidR="006A3A10">
              <w:rPr>
                <w:rFonts w:ascii="Arial" w:hAnsi="Arial" w:cs="Arial"/>
              </w:rPr>
              <w:t>was to</w:t>
            </w:r>
            <w:r w:rsidRPr="001C117A">
              <w:rPr>
                <w:rFonts w:ascii="Arial" w:hAnsi="Arial" w:cs="Arial"/>
              </w:rPr>
              <w:t xml:space="preserve"> review the initial EIA that was completed</w:t>
            </w:r>
            <w:r w:rsidR="002A0262">
              <w:rPr>
                <w:rFonts w:ascii="Arial" w:hAnsi="Arial" w:cs="Arial"/>
              </w:rPr>
              <w:t xml:space="preserve"> prior to rec</w:t>
            </w:r>
            <w:r w:rsidR="006A3A10">
              <w:rPr>
                <w:rFonts w:ascii="Arial" w:hAnsi="Arial" w:cs="Arial"/>
              </w:rPr>
              <w:t>eipt of the Annual Grant Report and gather further information required in order to ensure that the revised EIA was accurate.</w:t>
            </w:r>
          </w:p>
          <w:p w:rsidR="00CB79BC" w:rsidRPr="00464EFE" w:rsidRDefault="00CB79BC" w:rsidP="00CB79BC">
            <w:pPr>
              <w:rPr>
                <w:rFonts w:ascii="Arial" w:hAnsi="Arial" w:cs="Arial"/>
              </w:rPr>
            </w:pPr>
          </w:p>
        </w:tc>
      </w:tr>
    </w:tbl>
    <w:p w:rsidR="00B62FC1" w:rsidRDefault="00B62FC1" w:rsidP="00B62FC1">
      <w:pP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62FC1" w:rsidRPr="00464EFE" w:rsidTr="38B641A1">
        <w:tc>
          <w:tcPr>
            <w:tcW w:w="9493" w:type="dxa"/>
          </w:tcPr>
          <w:p w:rsidR="00B62FC1" w:rsidRPr="00464EFE" w:rsidRDefault="00B62FC1" w:rsidP="006D5698">
            <w:pPr>
              <w:rPr>
                <w:rFonts w:ascii="Arial" w:hAnsi="Arial" w:cs="Arial"/>
                <w:b/>
              </w:rPr>
            </w:pPr>
            <w:r w:rsidRPr="00A227D8">
              <w:rPr>
                <w:rFonts w:ascii="Arial" w:hAnsi="Arial" w:cs="Arial"/>
                <w:b/>
              </w:rPr>
              <w:t>Data</w:t>
            </w:r>
          </w:p>
        </w:tc>
      </w:tr>
      <w:tr w:rsidR="00B62FC1" w:rsidRPr="00464EFE" w:rsidTr="38B641A1">
        <w:tc>
          <w:tcPr>
            <w:tcW w:w="9493" w:type="dxa"/>
          </w:tcPr>
          <w:p w:rsidR="00792037" w:rsidRDefault="00792037" w:rsidP="00910CE3">
            <w:pPr>
              <w:pStyle w:val="ListParagraph"/>
              <w:numPr>
                <w:ilvl w:val="0"/>
                <w:numId w:val="26"/>
              </w:numPr>
              <w:rPr>
                <w:rFonts w:ascii="Arial" w:hAnsi="Arial" w:cs="Arial"/>
              </w:rPr>
            </w:pPr>
            <w:r>
              <w:rPr>
                <w:rFonts w:ascii="Arial" w:hAnsi="Arial" w:cs="Arial"/>
              </w:rPr>
              <w:t>Activity information has been submitted by the organisation as part of the Annual Grant Report</w:t>
            </w:r>
          </w:p>
          <w:p w:rsidR="00A477ED" w:rsidRPr="00792037" w:rsidRDefault="00837587" w:rsidP="00910CE3">
            <w:pPr>
              <w:pStyle w:val="ListParagraph"/>
              <w:numPr>
                <w:ilvl w:val="0"/>
                <w:numId w:val="26"/>
              </w:numPr>
              <w:rPr>
                <w:rFonts w:ascii="Arial" w:hAnsi="Arial" w:cs="Arial"/>
              </w:rPr>
            </w:pPr>
            <w:r>
              <w:rPr>
                <w:rFonts w:ascii="Arial" w:hAnsi="Arial" w:cs="Arial"/>
              </w:rPr>
              <w:t>N</w:t>
            </w:r>
            <w:r w:rsidR="38B641A1" w:rsidRPr="00792037">
              <w:rPr>
                <w:rFonts w:ascii="Arial" w:hAnsi="Arial" w:cs="Arial"/>
              </w:rPr>
              <w:t xml:space="preserve">o quality indicators </w:t>
            </w:r>
            <w:r>
              <w:rPr>
                <w:rFonts w:ascii="Arial" w:hAnsi="Arial" w:cs="Arial"/>
              </w:rPr>
              <w:t xml:space="preserve">for service </w:t>
            </w:r>
            <w:r w:rsidR="38B641A1" w:rsidRPr="00792037">
              <w:rPr>
                <w:rFonts w:ascii="Arial" w:hAnsi="Arial" w:cs="Arial"/>
              </w:rPr>
              <w:t xml:space="preserve">as </w:t>
            </w:r>
            <w:r>
              <w:rPr>
                <w:rFonts w:ascii="Arial" w:hAnsi="Arial" w:cs="Arial"/>
              </w:rPr>
              <w:t xml:space="preserve">there is </w:t>
            </w:r>
            <w:r w:rsidR="38B641A1" w:rsidRPr="00792037">
              <w:rPr>
                <w:rFonts w:ascii="Arial" w:hAnsi="Arial" w:cs="Arial"/>
              </w:rPr>
              <w:t xml:space="preserve">no </w:t>
            </w:r>
            <w:r>
              <w:rPr>
                <w:rFonts w:ascii="Arial" w:hAnsi="Arial" w:cs="Arial"/>
              </w:rPr>
              <w:t xml:space="preserve">current </w:t>
            </w:r>
            <w:r w:rsidR="38B641A1" w:rsidRPr="00792037">
              <w:rPr>
                <w:rFonts w:ascii="Arial" w:hAnsi="Arial" w:cs="Arial"/>
              </w:rPr>
              <w:t xml:space="preserve">SLA </w:t>
            </w:r>
            <w:r>
              <w:rPr>
                <w:rFonts w:ascii="Arial" w:hAnsi="Arial" w:cs="Arial"/>
              </w:rPr>
              <w:t>in place</w:t>
            </w:r>
          </w:p>
          <w:p w:rsidR="00A227D8" w:rsidRPr="00837587" w:rsidRDefault="38B641A1" w:rsidP="00910CE3">
            <w:pPr>
              <w:pStyle w:val="ListParagraph"/>
              <w:numPr>
                <w:ilvl w:val="0"/>
                <w:numId w:val="26"/>
              </w:numPr>
              <w:rPr>
                <w:rFonts w:ascii="Arial" w:hAnsi="Arial" w:cs="Arial"/>
              </w:rPr>
            </w:pPr>
            <w:r w:rsidRPr="00837587">
              <w:rPr>
                <w:rFonts w:ascii="Arial" w:hAnsi="Arial" w:cs="Arial"/>
              </w:rPr>
              <w:t>Forums able to provide q</w:t>
            </w:r>
            <w:r w:rsidR="00EB3D69">
              <w:rPr>
                <w:rFonts w:ascii="Arial" w:hAnsi="Arial" w:cs="Arial"/>
              </w:rPr>
              <w:t>ualitative data and value input (Mental Health Forums in 5 administrative areas)</w:t>
            </w:r>
          </w:p>
          <w:p w:rsidR="00CB79BC" w:rsidRDefault="00A227D8" w:rsidP="00910CE3">
            <w:pPr>
              <w:pStyle w:val="ListParagraph"/>
              <w:numPr>
                <w:ilvl w:val="0"/>
                <w:numId w:val="26"/>
              </w:numPr>
              <w:rPr>
                <w:rFonts w:ascii="Arial" w:hAnsi="Arial" w:cs="Arial"/>
              </w:rPr>
            </w:pPr>
            <w:r w:rsidRPr="00837587">
              <w:rPr>
                <w:rFonts w:ascii="Arial" w:hAnsi="Arial" w:cs="Arial"/>
              </w:rPr>
              <w:t>Financial data provided by A&amp;B finance team</w:t>
            </w:r>
            <w:r w:rsidR="38B641A1" w:rsidRPr="00837587">
              <w:rPr>
                <w:rFonts w:ascii="Arial" w:hAnsi="Arial" w:cs="Arial"/>
              </w:rPr>
              <w:t xml:space="preserve"> </w:t>
            </w:r>
          </w:p>
          <w:p w:rsidR="002A0262" w:rsidRDefault="005615F4" w:rsidP="00910CE3">
            <w:pPr>
              <w:pStyle w:val="ListParagraph"/>
              <w:numPr>
                <w:ilvl w:val="0"/>
                <w:numId w:val="26"/>
              </w:numPr>
              <w:rPr>
                <w:rFonts w:ascii="Arial" w:hAnsi="Arial" w:cs="Arial"/>
              </w:rPr>
            </w:pPr>
            <w:r>
              <w:rPr>
                <w:rFonts w:ascii="Arial" w:hAnsi="Arial" w:cs="Arial"/>
              </w:rPr>
              <w:t>Mental Health Transition and Recovery Plan</w:t>
            </w:r>
          </w:p>
          <w:p w:rsidR="005615F4" w:rsidRDefault="005615F4" w:rsidP="00910CE3">
            <w:pPr>
              <w:pStyle w:val="ListParagraph"/>
              <w:numPr>
                <w:ilvl w:val="0"/>
                <w:numId w:val="26"/>
              </w:numPr>
              <w:rPr>
                <w:rFonts w:ascii="Arial" w:hAnsi="Arial" w:cs="Arial"/>
              </w:rPr>
            </w:pPr>
            <w:r>
              <w:rPr>
                <w:rFonts w:ascii="Arial" w:hAnsi="Arial" w:cs="Arial"/>
              </w:rPr>
              <w:t>Independent Review of Adult Social Care</w:t>
            </w:r>
          </w:p>
          <w:p w:rsidR="00910CE3" w:rsidRPr="00453911" w:rsidRDefault="00910CE3" w:rsidP="00453911">
            <w:pPr>
              <w:rPr>
                <w:rFonts w:ascii="Arial" w:hAnsi="Arial" w:cs="Arial"/>
              </w:rPr>
            </w:pPr>
          </w:p>
        </w:tc>
      </w:tr>
    </w:tbl>
    <w:p w:rsidR="00B62FC1" w:rsidRDefault="00B62FC1" w:rsidP="00B62FC1">
      <w:pP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62FC1" w:rsidRPr="00464EFE" w:rsidTr="00464EFE">
        <w:tc>
          <w:tcPr>
            <w:tcW w:w="9493" w:type="dxa"/>
          </w:tcPr>
          <w:p w:rsidR="00B62FC1" w:rsidRPr="00464EFE" w:rsidRDefault="00B62FC1" w:rsidP="006D5698">
            <w:pPr>
              <w:rPr>
                <w:rFonts w:ascii="Arial" w:hAnsi="Arial" w:cs="Arial"/>
                <w:b/>
              </w:rPr>
            </w:pPr>
            <w:r w:rsidRPr="00A227D8">
              <w:rPr>
                <w:rFonts w:ascii="Arial" w:hAnsi="Arial" w:cs="Arial"/>
                <w:b/>
              </w:rPr>
              <w:t>Other information</w:t>
            </w:r>
          </w:p>
        </w:tc>
      </w:tr>
      <w:tr w:rsidR="00B62FC1" w:rsidRPr="00464EFE" w:rsidTr="00464EFE">
        <w:tc>
          <w:tcPr>
            <w:tcW w:w="9493" w:type="dxa"/>
          </w:tcPr>
          <w:p w:rsidR="004D34A9" w:rsidRPr="00464EFE" w:rsidRDefault="00A227D8" w:rsidP="004D34A9">
            <w:pPr>
              <w:rPr>
                <w:rFonts w:ascii="Arial" w:hAnsi="Arial" w:cs="Arial"/>
              </w:rPr>
            </w:pPr>
            <w:r>
              <w:rPr>
                <w:rFonts w:ascii="Arial" w:hAnsi="Arial" w:cs="Arial"/>
              </w:rPr>
              <w:t>F</w:t>
            </w:r>
            <w:r w:rsidR="004D34A9">
              <w:rPr>
                <w:rFonts w:ascii="Arial" w:hAnsi="Arial" w:cs="Arial"/>
              </w:rPr>
              <w:t>eedback from Budget consultation will also be taken into consideration.</w:t>
            </w:r>
          </w:p>
          <w:p w:rsidR="00CB79BC" w:rsidRPr="00464EFE" w:rsidRDefault="00CB79BC" w:rsidP="00CB79BC">
            <w:pPr>
              <w:rPr>
                <w:rFonts w:ascii="Arial" w:hAnsi="Arial" w:cs="Arial"/>
              </w:rPr>
            </w:pPr>
          </w:p>
        </w:tc>
      </w:tr>
    </w:tbl>
    <w:p w:rsidR="00B62FC1" w:rsidRDefault="00B62FC1" w:rsidP="00B62FC1">
      <w:pP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62FC1" w:rsidRPr="00464EFE" w:rsidTr="38B641A1">
        <w:tc>
          <w:tcPr>
            <w:tcW w:w="9493" w:type="dxa"/>
          </w:tcPr>
          <w:p w:rsidR="00B62FC1" w:rsidRPr="00464EFE" w:rsidRDefault="00B62FC1" w:rsidP="006D5698">
            <w:pPr>
              <w:rPr>
                <w:rFonts w:ascii="Arial" w:hAnsi="Arial" w:cs="Arial"/>
                <w:b/>
              </w:rPr>
            </w:pPr>
            <w:r w:rsidRPr="00A227D8">
              <w:rPr>
                <w:rFonts w:ascii="Arial" w:hAnsi="Arial" w:cs="Arial"/>
                <w:b/>
              </w:rPr>
              <w:t>Gaps in evidence</w:t>
            </w:r>
          </w:p>
        </w:tc>
      </w:tr>
      <w:tr w:rsidR="00B62FC1" w:rsidRPr="00464EFE" w:rsidTr="38B641A1">
        <w:tc>
          <w:tcPr>
            <w:tcW w:w="9493" w:type="dxa"/>
          </w:tcPr>
          <w:p w:rsidR="00837587" w:rsidRDefault="00837587" w:rsidP="00CB79BC">
            <w:pPr>
              <w:rPr>
                <w:rFonts w:ascii="Arial" w:hAnsi="Arial" w:cs="Arial"/>
              </w:rPr>
            </w:pPr>
            <w:r>
              <w:rPr>
                <w:rFonts w:ascii="Arial" w:hAnsi="Arial" w:cs="Arial"/>
              </w:rPr>
              <w:t xml:space="preserve">Although annual grant report has been submitted, there are currently no </w:t>
            </w:r>
            <w:r w:rsidR="38B641A1" w:rsidRPr="38B641A1">
              <w:rPr>
                <w:rFonts w:ascii="Arial" w:hAnsi="Arial" w:cs="Arial"/>
              </w:rPr>
              <w:t>KPIs to benchmark against</w:t>
            </w:r>
            <w:r>
              <w:rPr>
                <w:rFonts w:ascii="Arial" w:hAnsi="Arial" w:cs="Arial"/>
              </w:rPr>
              <w:t xml:space="preserve"> as there is no formal SLA in place.</w:t>
            </w:r>
            <w:r w:rsidR="00550755">
              <w:rPr>
                <w:rFonts w:ascii="Arial" w:hAnsi="Arial" w:cs="Arial"/>
              </w:rPr>
              <w:t xml:space="preserve"> This is a gap in relation to measuring the take up and effectiveness of services.</w:t>
            </w:r>
          </w:p>
          <w:p w:rsidR="00C07475" w:rsidRPr="00464EFE" w:rsidRDefault="00C07475" w:rsidP="00CB79BC">
            <w:pPr>
              <w:rPr>
                <w:rFonts w:ascii="Arial" w:hAnsi="Arial" w:cs="Arial"/>
              </w:rPr>
            </w:pPr>
          </w:p>
          <w:p w:rsidR="00CB79BC" w:rsidRPr="00464EFE" w:rsidRDefault="00C07475" w:rsidP="00CB79BC">
            <w:pPr>
              <w:rPr>
                <w:rFonts w:ascii="Arial" w:hAnsi="Arial" w:cs="Arial"/>
              </w:rPr>
            </w:pPr>
            <w:r>
              <w:rPr>
                <w:rFonts w:ascii="Arial" w:hAnsi="Arial" w:cs="Arial"/>
              </w:rPr>
              <w:t xml:space="preserve">With the launch of the Mental Health Benchmarking event to look at best service delivery for people who use mental health services it is </w:t>
            </w:r>
            <w:r w:rsidR="00550755">
              <w:rPr>
                <w:rFonts w:ascii="Arial" w:hAnsi="Arial" w:cs="Arial"/>
              </w:rPr>
              <w:t xml:space="preserve"> arguably </w:t>
            </w:r>
            <w:r>
              <w:rPr>
                <w:rFonts w:ascii="Arial" w:hAnsi="Arial" w:cs="Arial"/>
              </w:rPr>
              <w:t>more appropriate to align to existing commissioned advocacy services that offer Argyll and Bute wide services and where benchmarking is in place.</w:t>
            </w:r>
          </w:p>
        </w:tc>
      </w:tr>
    </w:tbl>
    <w:p w:rsidR="00B62FC1" w:rsidRDefault="00B62FC1" w:rsidP="00B62FC1">
      <w:pPr>
        <w:rPr>
          <w:rFonts w:ascii="Arial" w:hAnsi="Arial" w:cs="Arial"/>
        </w:rPr>
      </w:pPr>
    </w:p>
    <w:p w:rsidR="00B62FC1" w:rsidRDefault="00B62FC1" w:rsidP="00B62FC1">
      <w:pPr>
        <w:jc w:val="center"/>
        <w:rPr>
          <w:rFonts w:ascii="Arial" w:hAnsi="Arial" w:cs="Arial"/>
          <w:b/>
          <w:color w:val="0070C0"/>
        </w:rPr>
      </w:pPr>
      <w:r w:rsidRPr="00B62FC1">
        <w:rPr>
          <w:rFonts w:ascii="Arial" w:hAnsi="Arial" w:cs="Arial"/>
          <w:b/>
          <w:color w:val="0070C0"/>
        </w:rPr>
        <w:t>Section 3: Impact of proposal</w:t>
      </w:r>
    </w:p>
    <w:p w:rsidR="0093189F" w:rsidRPr="00CB79BC" w:rsidRDefault="0093189F" w:rsidP="0093189F">
      <w:pPr>
        <w:rPr>
          <w:rFonts w:ascii="Arial" w:hAnsi="Arial" w:cs="Arial"/>
        </w:rPr>
      </w:pPr>
    </w:p>
    <w:p w:rsidR="00B62FC1" w:rsidRPr="00675C29" w:rsidRDefault="00B62FC1" w:rsidP="00B62FC1">
      <w:pPr>
        <w:rPr>
          <w:rFonts w:ascii="Arial" w:hAnsi="Arial" w:cs="Arial"/>
          <w:b/>
        </w:rPr>
      </w:pPr>
      <w:r w:rsidRPr="00675C29">
        <w:rPr>
          <w:rFonts w:ascii="Arial" w:hAnsi="Arial" w:cs="Arial"/>
          <w:b/>
        </w:rPr>
        <w:t>Impact on service users: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418"/>
        <w:gridCol w:w="1559"/>
        <w:gridCol w:w="1559"/>
        <w:gridCol w:w="1418"/>
      </w:tblGrid>
      <w:tr w:rsidR="00E74C7E" w:rsidRPr="00464EFE" w:rsidTr="38B641A1">
        <w:trPr>
          <w:cantSplit/>
          <w:tblHeader/>
        </w:trPr>
        <w:tc>
          <w:tcPr>
            <w:tcW w:w="3397"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b/>
              </w:rPr>
            </w:pPr>
            <w:r w:rsidRPr="00464EFE">
              <w:rPr>
                <w:rFonts w:ascii="Arial" w:hAnsi="Arial" w:cs="Arial"/>
                <w:b/>
              </w:rPr>
              <w:t>Negative</w:t>
            </w:r>
          </w:p>
        </w:tc>
        <w:tc>
          <w:tcPr>
            <w:tcW w:w="1559" w:type="dxa"/>
          </w:tcPr>
          <w:p w:rsidR="00E74C7E" w:rsidRPr="00464EFE" w:rsidRDefault="00E74C7E" w:rsidP="006D5698">
            <w:pPr>
              <w:rPr>
                <w:rFonts w:ascii="Arial" w:hAnsi="Arial" w:cs="Arial"/>
                <w:b/>
              </w:rPr>
            </w:pPr>
            <w:r w:rsidRPr="00464EFE">
              <w:rPr>
                <w:rFonts w:ascii="Arial" w:hAnsi="Arial" w:cs="Arial"/>
                <w:b/>
              </w:rPr>
              <w:t>No impact</w:t>
            </w:r>
          </w:p>
        </w:tc>
        <w:tc>
          <w:tcPr>
            <w:tcW w:w="1559" w:type="dxa"/>
          </w:tcPr>
          <w:p w:rsidR="00E74C7E" w:rsidRPr="00464EFE" w:rsidRDefault="00E74C7E" w:rsidP="006D5698">
            <w:pPr>
              <w:rPr>
                <w:rFonts w:ascii="Arial" w:hAnsi="Arial" w:cs="Arial"/>
                <w:b/>
              </w:rPr>
            </w:pPr>
            <w:r w:rsidRPr="00464EFE">
              <w:rPr>
                <w:rFonts w:ascii="Arial" w:hAnsi="Arial" w:cs="Arial"/>
                <w:b/>
              </w:rPr>
              <w:t>Positive</w:t>
            </w:r>
          </w:p>
        </w:tc>
        <w:tc>
          <w:tcPr>
            <w:tcW w:w="1418" w:type="dxa"/>
          </w:tcPr>
          <w:p w:rsidR="00E74C7E" w:rsidRPr="00464EFE" w:rsidRDefault="00E74C7E" w:rsidP="006D5698">
            <w:pPr>
              <w:rPr>
                <w:rFonts w:ascii="Arial" w:hAnsi="Arial" w:cs="Arial"/>
                <w:b/>
              </w:rPr>
            </w:pPr>
            <w:r w:rsidRPr="00464EFE">
              <w:rPr>
                <w:rFonts w:ascii="Arial" w:hAnsi="Arial" w:cs="Arial"/>
                <w:b/>
              </w:rPr>
              <w:t>Don’t know</w:t>
            </w:r>
          </w:p>
        </w:tc>
      </w:tr>
      <w:tr w:rsidR="00E74C7E" w:rsidRPr="00464EFE" w:rsidTr="38B641A1">
        <w:tc>
          <w:tcPr>
            <w:tcW w:w="3397" w:type="dxa"/>
          </w:tcPr>
          <w:p w:rsidR="00E74C7E" w:rsidRPr="00464EFE" w:rsidRDefault="00E74C7E" w:rsidP="006D5698">
            <w:pPr>
              <w:rPr>
                <w:rFonts w:ascii="Arial" w:hAnsi="Arial" w:cs="Arial"/>
                <w:b/>
              </w:rPr>
            </w:pPr>
            <w:r w:rsidRPr="00464EFE">
              <w:rPr>
                <w:rFonts w:ascii="Arial" w:hAnsi="Arial" w:cs="Arial"/>
                <w:b/>
              </w:rPr>
              <w:t>Protected characteristics:</w:t>
            </w:r>
          </w:p>
        </w:tc>
        <w:tc>
          <w:tcPr>
            <w:tcW w:w="1418" w:type="dxa"/>
          </w:tcPr>
          <w:p w:rsidR="00E74C7E" w:rsidRPr="00464EFE" w:rsidRDefault="00E74C7E" w:rsidP="006D5698">
            <w:pPr>
              <w:rPr>
                <w:rFonts w:ascii="Arial" w:hAnsi="Arial" w:cs="Arial"/>
              </w:rPr>
            </w:pPr>
          </w:p>
        </w:tc>
        <w:tc>
          <w:tcPr>
            <w:tcW w:w="1559" w:type="dxa"/>
          </w:tcPr>
          <w:p w:rsidR="00E74C7E" w:rsidRPr="00464EFE" w:rsidRDefault="00E74C7E" w:rsidP="006D5698">
            <w:pPr>
              <w:rPr>
                <w:rFonts w:ascii="Arial" w:hAnsi="Arial" w:cs="Arial"/>
              </w:rPr>
            </w:pP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r w:rsidR="001C2968" w:rsidRPr="00464EFE" w:rsidTr="38B641A1">
        <w:tc>
          <w:tcPr>
            <w:tcW w:w="3397" w:type="dxa"/>
          </w:tcPr>
          <w:p w:rsidR="001C2968" w:rsidRPr="00464EFE" w:rsidRDefault="001C2968" w:rsidP="001C2968">
            <w:pPr>
              <w:rPr>
                <w:rFonts w:ascii="Arial" w:hAnsi="Arial" w:cs="Arial"/>
              </w:rPr>
            </w:pPr>
            <w:r w:rsidRPr="00464EFE">
              <w:rPr>
                <w:rFonts w:ascii="Arial" w:hAnsi="Arial" w:cs="Arial"/>
              </w:rPr>
              <w:t>Age</w:t>
            </w:r>
          </w:p>
        </w:tc>
        <w:tc>
          <w:tcPr>
            <w:tcW w:w="1418" w:type="dxa"/>
          </w:tcPr>
          <w:p w:rsidR="001C2968" w:rsidRPr="00464EFE" w:rsidRDefault="001C2968" w:rsidP="001C2968">
            <w:pPr>
              <w:rPr>
                <w:rFonts w:ascii="Arial" w:hAnsi="Arial" w:cs="Arial"/>
              </w:rPr>
            </w:pPr>
          </w:p>
        </w:tc>
        <w:tc>
          <w:tcPr>
            <w:tcW w:w="1559" w:type="dxa"/>
          </w:tcPr>
          <w:p w:rsidR="001C2968" w:rsidRPr="00464EFE" w:rsidRDefault="00914D5B" w:rsidP="001C2968">
            <w:pPr>
              <w:rPr>
                <w:rFonts w:ascii="Arial" w:hAnsi="Arial" w:cs="Arial"/>
              </w:rPr>
            </w:pPr>
            <w:r>
              <w:rPr>
                <w:rFonts w:ascii="Arial" w:hAnsi="Arial" w:cs="Arial"/>
              </w:rPr>
              <w:t>x</w:t>
            </w:r>
          </w:p>
        </w:tc>
        <w:tc>
          <w:tcPr>
            <w:tcW w:w="1559" w:type="dxa"/>
          </w:tcPr>
          <w:p w:rsidR="001C2968" w:rsidRPr="00464EFE" w:rsidRDefault="001C2968" w:rsidP="001C2968">
            <w:pPr>
              <w:rPr>
                <w:rFonts w:ascii="Arial" w:hAnsi="Arial" w:cs="Arial"/>
              </w:rPr>
            </w:pPr>
          </w:p>
        </w:tc>
        <w:tc>
          <w:tcPr>
            <w:tcW w:w="1418" w:type="dxa"/>
          </w:tcPr>
          <w:p w:rsidR="001C2968" w:rsidRPr="00464EFE" w:rsidRDefault="001C2968" w:rsidP="001C2968">
            <w:pPr>
              <w:rPr>
                <w:rFonts w:ascii="Arial" w:hAnsi="Arial" w:cs="Arial"/>
              </w:rPr>
            </w:pPr>
          </w:p>
        </w:tc>
      </w:tr>
      <w:tr w:rsidR="001C2968" w:rsidRPr="00464EFE" w:rsidTr="38B641A1">
        <w:tc>
          <w:tcPr>
            <w:tcW w:w="3397" w:type="dxa"/>
          </w:tcPr>
          <w:p w:rsidR="001C2968" w:rsidRPr="00464EFE" w:rsidRDefault="001C2968" w:rsidP="001C2968">
            <w:pPr>
              <w:rPr>
                <w:rFonts w:ascii="Arial" w:hAnsi="Arial" w:cs="Arial"/>
              </w:rPr>
            </w:pPr>
            <w:r w:rsidRPr="00464EFE">
              <w:rPr>
                <w:rFonts w:ascii="Arial" w:hAnsi="Arial" w:cs="Arial"/>
              </w:rPr>
              <w:t>Disability</w:t>
            </w:r>
          </w:p>
        </w:tc>
        <w:tc>
          <w:tcPr>
            <w:tcW w:w="1418" w:type="dxa"/>
          </w:tcPr>
          <w:p w:rsidR="001C2968" w:rsidRPr="00464EFE" w:rsidRDefault="00914D5B" w:rsidP="001C2968">
            <w:pPr>
              <w:rPr>
                <w:rFonts w:ascii="Arial" w:hAnsi="Arial" w:cs="Arial"/>
              </w:rPr>
            </w:pPr>
            <w:r>
              <w:rPr>
                <w:rFonts w:ascii="Arial" w:hAnsi="Arial" w:cs="Arial"/>
              </w:rPr>
              <w:t>x</w:t>
            </w:r>
          </w:p>
        </w:tc>
        <w:tc>
          <w:tcPr>
            <w:tcW w:w="1559" w:type="dxa"/>
          </w:tcPr>
          <w:p w:rsidR="001C2968" w:rsidRPr="00464EFE" w:rsidRDefault="001C2968" w:rsidP="001C2968">
            <w:pPr>
              <w:rPr>
                <w:rFonts w:ascii="Arial" w:hAnsi="Arial" w:cs="Arial"/>
              </w:rPr>
            </w:pPr>
          </w:p>
        </w:tc>
        <w:tc>
          <w:tcPr>
            <w:tcW w:w="1559" w:type="dxa"/>
          </w:tcPr>
          <w:p w:rsidR="001C2968" w:rsidRPr="00464EFE" w:rsidRDefault="001C2968" w:rsidP="001C2968">
            <w:pPr>
              <w:rPr>
                <w:rFonts w:ascii="Arial" w:hAnsi="Arial" w:cs="Arial"/>
              </w:rPr>
            </w:pPr>
          </w:p>
        </w:tc>
        <w:tc>
          <w:tcPr>
            <w:tcW w:w="1418" w:type="dxa"/>
          </w:tcPr>
          <w:p w:rsidR="001C2968" w:rsidRPr="00464EFE" w:rsidRDefault="001C2968" w:rsidP="001C2968">
            <w:pPr>
              <w:rPr>
                <w:rFonts w:ascii="Arial" w:hAnsi="Arial" w:cs="Arial"/>
              </w:rPr>
            </w:pPr>
          </w:p>
        </w:tc>
      </w:tr>
      <w:tr w:rsidR="001C2968" w:rsidRPr="00464EFE" w:rsidTr="38B641A1">
        <w:tc>
          <w:tcPr>
            <w:tcW w:w="3397" w:type="dxa"/>
          </w:tcPr>
          <w:p w:rsidR="001C2968" w:rsidRPr="00464EFE" w:rsidRDefault="001C2968" w:rsidP="001C2968">
            <w:pPr>
              <w:rPr>
                <w:rFonts w:ascii="Arial" w:hAnsi="Arial" w:cs="Arial"/>
              </w:rPr>
            </w:pPr>
            <w:r w:rsidRPr="00464EFE">
              <w:rPr>
                <w:rFonts w:ascii="Arial" w:hAnsi="Arial" w:cs="Arial"/>
              </w:rPr>
              <w:t>Ethnicity</w:t>
            </w:r>
          </w:p>
        </w:tc>
        <w:tc>
          <w:tcPr>
            <w:tcW w:w="1418" w:type="dxa"/>
          </w:tcPr>
          <w:p w:rsidR="001C2968" w:rsidRPr="00464EFE" w:rsidRDefault="001C2968" w:rsidP="001C2968">
            <w:pPr>
              <w:rPr>
                <w:rFonts w:ascii="Arial" w:hAnsi="Arial" w:cs="Arial"/>
              </w:rPr>
            </w:pPr>
          </w:p>
        </w:tc>
        <w:tc>
          <w:tcPr>
            <w:tcW w:w="1559" w:type="dxa"/>
          </w:tcPr>
          <w:p w:rsidR="001C2968" w:rsidRPr="00464EFE" w:rsidRDefault="00914D5B" w:rsidP="001C2968">
            <w:pPr>
              <w:rPr>
                <w:rFonts w:ascii="Arial" w:hAnsi="Arial" w:cs="Arial"/>
              </w:rPr>
            </w:pPr>
            <w:r>
              <w:rPr>
                <w:rFonts w:ascii="Arial" w:hAnsi="Arial" w:cs="Arial"/>
              </w:rPr>
              <w:t>x</w:t>
            </w:r>
          </w:p>
        </w:tc>
        <w:tc>
          <w:tcPr>
            <w:tcW w:w="1559" w:type="dxa"/>
          </w:tcPr>
          <w:p w:rsidR="001C2968" w:rsidRPr="00464EFE" w:rsidRDefault="001C2968" w:rsidP="001C2968">
            <w:pPr>
              <w:rPr>
                <w:rFonts w:ascii="Arial" w:hAnsi="Arial" w:cs="Arial"/>
              </w:rPr>
            </w:pPr>
          </w:p>
        </w:tc>
        <w:tc>
          <w:tcPr>
            <w:tcW w:w="1418" w:type="dxa"/>
          </w:tcPr>
          <w:p w:rsidR="001C2968" w:rsidRPr="00464EFE" w:rsidRDefault="001C2968" w:rsidP="001C2968">
            <w:pPr>
              <w:rPr>
                <w:rFonts w:ascii="Arial" w:hAnsi="Arial" w:cs="Arial"/>
              </w:rPr>
            </w:pPr>
          </w:p>
        </w:tc>
      </w:tr>
      <w:tr w:rsidR="001C2968" w:rsidRPr="00464EFE" w:rsidTr="38B641A1">
        <w:tc>
          <w:tcPr>
            <w:tcW w:w="3397" w:type="dxa"/>
          </w:tcPr>
          <w:p w:rsidR="001C2968" w:rsidRPr="00464EFE" w:rsidRDefault="001C2968" w:rsidP="001C2968">
            <w:pPr>
              <w:rPr>
                <w:rFonts w:ascii="Arial" w:hAnsi="Arial" w:cs="Arial"/>
              </w:rPr>
            </w:pPr>
            <w:r w:rsidRPr="00464EFE">
              <w:rPr>
                <w:rFonts w:ascii="Arial" w:hAnsi="Arial" w:cs="Arial"/>
              </w:rPr>
              <w:t>Sex</w:t>
            </w:r>
          </w:p>
        </w:tc>
        <w:tc>
          <w:tcPr>
            <w:tcW w:w="1418" w:type="dxa"/>
          </w:tcPr>
          <w:p w:rsidR="001C2968" w:rsidRPr="00464EFE" w:rsidRDefault="001C2968" w:rsidP="001C2968">
            <w:pPr>
              <w:rPr>
                <w:rFonts w:ascii="Arial" w:hAnsi="Arial" w:cs="Arial"/>
              </w:rPr>
            </w:pPr>
          </w:p>
        </w:tc>
        <w:tc>
          <w:tcPr>
            <w:tcW w:w="1559" w:type="dxa"/>
          </w:tcPr>
          <w:p w:rsidR="001C2968" w:rsidRPr="00464EFE" w:rsidRDefault="00914D5B" w:rsidP="001C2968">
            <w:pPr>
              <w:rPr>
                <w:rFonts w:ascii="Arial" w:hAnsi="Arial" w:cs="Arial"/>
              </w:rPr>
            </w:pPr>
            <w:r>
              <w:rPr>
                <w:rFonts w:ascii="Arial" w:hAnsi="Arial" w:cs="Arial"/>
              </w:rPr>
              <w:t>x</w:t>
            </w:r>
          </w:p>
        </w:tc>
        <w:tc>
          <w:tcPr>
            <w:tcW w:w="1559" w:type="dxa"/>
          </w:tcPr>
          <w:p w:rsidR="001C2968" w:rsidRPr="00464EFE" w:rsidRDefault="001C2968" w:rsidP="001C2968">
            <w:pPr>
              <w:rPr>
                <w:rFonts w:ascii="Arial" w:hAnsi="Arial" w:cs="Arial"/>
              </w:rPr>
            </w:pPr>
          </w:p>
        </w:tc>
        <w:tc>
          <w:tcPr>
            <w:tcW w:w="1418" w:type="dxa"/>
          </w:tcPr>
          <w:p w:rsidR="001C2968" w:rsidRPr="00464EFE" w:rsidRDefault="001C2968" w:rsidP="001C2968">
            <w:pPr>
              <w:rPr>
                <w:rFonts w:ascii="Arial" w:hAnsi="Arial" w:cs="Arial"/>
              </w:rPr>
            </w:pPr>
          </w:p>
        </w:tc>
      </w:tr>
      <w:tr w:rsidR="001C2968" w:rsidRPr="00464EFE" w:rsidTr="38B641A1">
        <w:tc>
          <w:tcPr>
            <w:tcW w:w="3397" w:type="dxa"/>
          </w:tcPr>
          <w:p w:rsidR="001C2968" w:rsidRPr="00464EFE" w:rsidRDefault="001C2968" w:rsidP="001C2968">
            <w:pPr>
              <w:rPr>
                <w:rFonts w:ascii="Arial" w:hAnsi="Arial" w:cs="Arial"/>
              </w:rPr>
            </w:pPr>
            <w:r w:rsidRPr="00464EFE">
              <w:rPr>
                <w:rFonts w:ascii="Arial" w:hAnsi="Arial" w:cs="Arial"/>
              </w:rPr>
              <w:t>Gender reassignment</w:t>
            </w:r>
          </w:p>
        </w:tc>
        <w:tc>
          <w:tcPr>
            <w:tcW w:w="1418" w:type="dxa"/>
          </w:tcPr>
          <w:p w:rsidR="001C2968" w:rsidRPr="00464EFE" w:rsidRDefault="001C2968" w:rsidP="001C2968">
            <w:pPr>
              <w:rPr>
                <w:rFonts w:ascii="Arial" w:hAnsi="Arial" w:cs="Arial"/>
              </w:rPr>
            </w:pPr>
          </w:p>
        </w:tc>
        <w:tc>
          <w:tcPr>
            <w:tcW w:w="1559" w:type="dxa"/>
          </w:tcPr>
          <w:p w:rsidR="001C2968" w:rsidRPr="00464EFE" w:rsidRDefault="00914D5B" w:rsidP="001C2968">
            <w:pPr>
              <w:rPr>
                <w:rFonts w:ascii="Arial" w:hAnsi="Arial" w:cs="Arial"/>
              </w:rPr>
            </w:pPr>
            <w:r>
              <w:rPr>
                <w:rFonts w:ascii="Arial" w:hAnsi="Arial" w:cs="Arial"/>
              </w:rPr>
              <w:t>x</w:t>
            </w:r>
          </w:p>
        </w:tc>
        <w:tc>
          <w:tcPr>
            <w:tcW w:w="1559" w:type="dxa"/>
          </w:tcPr>
          <w:p w:rsidR="001C2968" w:rsidRPr="00464EFE" w:rsidRDefault="001C2968" w:rsidP="001C2968">
            <w:pPr>
              <w:rPr>
                <w:rFonts w:ascii="Arial" w:hAnsi="Arial" w:cs="Arial"/>
              </w:rPr>
            </w:pPr>
          </w:p>
        </w:tc>
        <w:tc>
          <w:tcPr>
            <w:tcW w:w="1418" w:type="dxa"/>
          </w:tcPr>
          <w:p w:rsidR="001C2968" w:rsidRPr="00464EFE" w:rsidRDefault="001C2968" w:rsidP="001C2968">
            <w:pPr>
              <w:rPr>
                <w:rFonts w:ascii="Arial" w:hAnsi="Arial" w:cs="Arial"/>
              </w:rPr>
            </w:pPr>
          </w:p>
        </w:tc>
      </w:tr>
      <w:tr w:rsidR="001C2968" w:rsidRPr="00464EFE" w:rsidTr="38B641A1">
        <w:tc>
          <w:tcPr>
            <w:tcW w:w="3397" w:type="dxa"/>
          </w:tcPr>
          <w:p w:rsidR="001C2968" w:rsidRPr="00464EFE" w:rsidRDefault="001C2968" w:rsidP="001C2968">
            <w:pPr>
              <w:rPr>
                <w:rFonts w:ascii="Arial" w:hAnsi="Arial" w:cs="Arial"/>
              </w:rPr>
            </w:pPr>
            <w:r w:rsidRPr="00464EFE">
              <w:rPr>
                <w:rFonts w:ascii="Arial" w:hAnsi="Arial" w:cs="Arial"/>
              </w:rPr>
              <w:t>Marriage and Civil Partnership</w:t>
            </w:r>
          </w:p>
        </w:tc>
        <w:tc>
          <w:tcPr>
            <w:tcW w:w="1418" w:type="dxa"/>
          </w:tcPr>
          <w:p w:rsidR="001C2968" w:rsidRPr="00464EFE" w:rsidRDefault="001C2968" w:rsidP="001C2968">
            <w:pPr>
              <w:rPr>
                <w:rFonts w:ascii="Arial" w:hAnsi="Arial" w:cs="Arial"/>
              </w:rPr>
            </w:pPr>
          </w:p>
        </w:tc>
        <w:tc>
          <w:tcPr>
            <w:tcW w:w="1559" w:type="dxa"/>
          </w:tcPr>
          <w:p w:rsidR="001C2968" w:rsidRPr="00464EFE" w:rsidRDefault="00914D5B" w:rsidP="001C2968">
            <w:pPr>
              <w:rPr>
                <w:rFonts w:ascii="Arial" w:hAnsi="Arial" w:cs="Arial"/>
              </w:rPr>
            </w:pPr>
            <w:r>
              <w:rPr>
                <w:rFonts w:ascii="Arial" w:hAnsi="Arial" w:cs="Arial"/>
              </w:rPr>
              <w:t>x</w:t>
            </w:r>
          </w:p>
        </w:tc>
        <w:tc>
          <w:tcPr>
            <w:tcW w:w="1559" w:type="dxa"/>
          </w:tcPr>
          <w:p w:rsidR="001C2968" w:rsidRPr="00464EFE" w:rsidRDefault="001C2968" w:rsidP="001C2968">
            <w:pPr>
              <w:rPr>
                <w:rFonts w:ascii="Arial" w:hAnsi="Arial" w:cs="Arial"/>
              </w:rPr>
            </w:pPr>
          </w:p>
        </w:tc>
        <w:tc>
          <w:tcPr>
            <w:tcW w:w="1418" w:type="dxa"/>
          </w:tcPr>
          <w:p w:rsidR="001C2968" w:rsidRPr="00464EFE" w:rsidRDefault="001C2968" w:rsidP="001C2968">
            <w:pPr>
              <w:rPr>
                <w:rFonts w:ascii="Arial" w:hAnsi="Arial" w:cs="Arial"/>
              </w:rPr>
            </w:pPr>
          </w:p>
        </w:tc>
      </w:tr>
      <w:tr w:rsidR="001C2968" w:rsidRPr="00464EFE" w:rsidTr="38B641A1">
        <w:tc>
          <w:tcPr>
            <w:tcW w:w="3397" w:type="dxa"/>
          </w:tcPr>
          <w:p w:rsidR="001C2968" w:rsidRPr="00464EFE" w:rsidRDefault="001C2968" w:rsidP="001C2968">
            <w:pPr>
              <w:rPr>
                <w:rFonts w:ascii="Arial" w:hAnsi="Arial" w:cs="Arial"/>
              </w:rPr>
            </w:pPr>
            <w:r w:rsidRPr="00464EFE">
              <w:rPr>
                <w:rFonts w:ascii="Arial" w:hAnsi="Arial" w:cs="Arial"/>
              </w:rPr>
              <w:t>Pregnancy and Maternity</w:t>
            </w:r>
          </w:p>
        </w:tc>
        <w:tc>
          <w:tcPr>
            <w:tcW w:w="1418" w:type="dxa"/>
          </w:tcPr>
          <w:p w:rsidR="001C2968" w:rsidRPr="00464EFE" w:rsidRDefault="001C2968" w:rsidP="001C2968">
            <w:pPr>
              <w:rPr>
                <w:rFonts w:ascii="Arial" w:hAnsi="Arial" w:cs="Arial"/>
              </w:rPr>
            </w:pPr>
          </w:p>
        </w:tc>
        <w:tc>
          <w:tcPr>
            <w:tcW w:w="1559" w:type="dxa"/>
          </w:tcPr>
          <w:p w:rsidR="001C2968" w:rsidRPr="00464EFE" w:rsidRDefault="00914D5B" w:rsidP="001C2968">
            <w:pPr>
              <w:rPr>
                <w:rFonts w:ascii="Arial" w:hAnsi="Arial" w:cs="Arial"/>
              </w:rPr>
            </w:pPr>
            <w:r>
              <w:rPr>
                <w:rFonts w:ascii="Arial" w:hAnsi="Arial" w:cs="Arial"/>
              </w:rPr>
              <w:t>x</w:t>
            </w:r>
          </w:p>
        </w:tc>
        <w:tc>
          <w:tcPr>
            <w:tcW w:w="1559" w:type="dxa"/>
          </w:tcPr>
          <w:p w:rsidR="001C2968" w:rsidRPr="00464EFE" w:rsidRDefault="001C2968" w:rsidP="001C2968">
            <w:pPr>
              <w:rPr>
                <w:rFonts w:ascii="Arial" w:hAnsi="Arial" w:cs="Arial"/>
              </w:rPr>
            </w:pPr>
          </w:p>
        </w:tc>
        <w:tc>
          <w:tcPr>
            <w:tcW w:w="1418" w:type="dxa"/>
          </w:tcPr>
          <w:p w:rsidR="001C2968" w:rsidRPr="00464EFE" w:rsidRDefault="001C2968" w:rsidP="001C2968">
            <w:pPr>
              <w:rPr>
                <w:rFonts w:ascii="Arial" w:hAnsi="Arial" w:cs="Arial"/>
              </w:rPr>
            </w:pPr>
          </w:p>
        </w:tc>
      </w:tr>
      <w:tr w:rsidR="001C2968" w:rsidRPr="00464EFE" w:rsidTr="38B641A1">
        <w:tc>
          <w:tcPr>
            <w:tcW w:w="3397" w:type="dxa"/>
          </w:tcPr>
          <w:p w:rsidR="001C2968" w:rsidRPr="00464EFE" w:rsidRDefault="001C2968" w:rsidP="001C2968">
            <w:pPr>
              <w:rPr>
                <w:rFonts w:ascii="Arial" w:hAnsi="Arial" w:cs="Arial"/>
              </w:rPr>
            </w:pPr>
            <w:r w:rsidRPr="00464EFE">
              <w:rPr>
                <w:rFonts w:ascii="Arial" w:hAnsi="Arial" w:cs="Arial"/>
              </w:rPr>
              <w:t>Religion</w:t>
            </w:r>
          </w:p>
        </w:tc>
        <w:tc>
          <w:tcPr>
            <w:tcW w:w="1418" w:type="dxa"/>
          </w:tcPr>
          <w:p w:rsidR="001C2968" w:rsidRPr="00464EFE" w:rsidRDefault="001C2968" w:rsidP="001C2968">
            <w:pPr>
              <w:rPr>
                <w:rFonts w:ascii="Arial" w:hAnsi="Arial" w:cs="Arial"/>
              </w:rPr>
            </w:pPr>
          </w:p>
        </w:tc>
        <w:tc>
          <w:tcPr>
            <w:tcW w:w="1559" w:type="dxa"/>
          </w:tcPr>
          <w:p w:rsidR="001C2968" w:rsidRPr="00464EFE" w:rsidRDefault="00914D5B" w:rsidP="001C2968">
            <w:pPr>
              <w:rPr>
                <w:rFonts w:ascii="Arial" w:hAnsi="Arial" w:cs="Arial"/>
              </w:rPr>
            </w:pPr>
            <w:r>
              <w:rPr>
                <w:rFonts w:ascii="Arial" w:hAnsi="Arial" w:cs="Arial"/>
              </w:rPr>
              <w:t>x</w:t>
            </w:r>
          </w:p>
        </w:tc>
        <w:tc>
          <w:tcPr>
            <w:tcW w:w="1559" w:type="dxa"/>
          </w:tcPr>
          <w:p w:rsidR="001C2968" w:rsidRPr="00464EFE" w:rsidRDefault="001C2968" w:rsidP="001C2968">
            <w:pPr>
              <w:rPr>
                <w:rFonts w:ascii="Arial" w:hAnsi="Arial" w:cs="Arial"/>
              </w:rPr>
            </w:pPr>
          </w:p>
        </w:tc>
        <w:tc>
          <w:tcPr>
            <w:tcW w:w="1418" w:type="dxa"/>
          </w:tcPr>
          <w:p w:rsidR="001C2968" w:rsidRPr="00464EFE" w:rsidRDefault="001C2968" w:rsidP="001C2968">
            <w:pPr>
              <w:rPr>
                <w:rFonts w:ascii="Arial" w:hAnsi="Arial" w:cs="Arial"/>
              </w:rPr>
            </w:pPr>
          </w:p>
        </w:tc>
      </w:tr>
      <w:tr w:rsidR="001C2968" w:rsidRPr="00464EFE" w:rsidTr="38B641A1">
        <w:tc>
          <w:tcPr>
            <w:tcW w:w="3397" w:type="dxa"/>
          </w:tcPr>
          <w:p w:rsidR="001C2968" w:rsidRPr="00464EFE" w:rsidRDefault="001C2968" w:rsidP="001C2968">
            <w:pPr>
              <w:rPr>
                <w:rFonts w:ascii="Arial" w:hAnsi="Arial" w:cs="Arial"/>
              </w:rPr>
            </w:pPr>
            <w:r w:rsidRPr="00464EFE">
              <w:rPr>
                <w:rFonts w:ascii="Arial" w:hAnsi="Arial" w:cs="Arial"/>
              </w:rPr>
              <w:t>Sexual Orientation</w:t>
            </w:r>
          </w:p>
        </w:tc>
        <w:tc>
          <w:tcPr>
            <w:tcW w:w="1418" w:type="dxa"/>
          </w:tcPr>
          <w:p w:rsidR="001C2968" w:rsidRPr="00464EFE" w:rsidRDefault="001C2968" w:rsidP="001C2968">
            <w:pPr>
              <w:rPr>
                <w:rFonts w:ascii="Arial" w:hAnsi="Arial" w:cs="Arial"/>
              </w:rPr>
            </w:pPr>
          </w:p>
        </w:tc>
        <w:tc>
          <w:tcPr>
            <w:tcW w:w="1559" w:type="dxa"/>
          </w:tcPr>
          <w:p w:rsidR="001C2968" w:rsidRPr="00464EFE" w:rsidRDefault="00914D5B" w:rsidP="001C2968">
            <w:pPr>
              <w:rPr>
                <w:rFonts w:ascii="Arial" w:hAnsi="Arial" w:cs="Arial"/>
              </w:rPr>
            </w:pPr>
            <w:r>
              <w:rPr>
                <w:rFonts w:ascii="Arial" w:hAnsi="Arial" w:cs="Arial"/>
              </w:rPr>
              <w:t>x</w:t>
            </w:r>
          </w:p>
        </w:tc>
        <w:tc>
          <w:tcPr>
            <w:tcW w:w="1559" w:type="dxa"/>
          </w:tcPr>
          <w:p w:rsidR="001C2968" w:rsidRPr="00464EFE" w:rsidRDefault="001C2968" w:rsidP="001C2968">
            <w:pPr>
              <w:rPr>
                <w:rFonts w:ascii="Arial" w:hAnsi="Arial" w:cs="Arial"/>
              </w:rPr>
            </w:pPr>
          </w:p>
        </w:tc>
        <w:tc>
          <w:tcPr>
            <w:tcW w:w="1418" w:type="dxa"/>
          </w:tcPr>
          <w:p w:rsidR="001C2968" w:rsidRPr="00464EFE" w:rsidRDefault="001C2968" w:rsidP="001C2968">
            <w:pPr>
              <w:rPr>
                <w:rFonts w:ascii="Arial" w:hAnsi="Arial" w:cs="Arial"/>
              </w:rPr>
            </w:pPr>
          </w:p>
        </w:tc>
      </w:tr>
      <w:tr w:rsidR="001C2968" w:rsidRPr="00464EFE" w:rsidTr="38B641A1">
        <w:tc>
          <w:tcPr>
            <w:tcW w:w="3397" w:type="dxa"/>
          </w:tcPr>
          <w:p w:rsidR="001C2968" w:rsidRPr="00464EFE" w:rsidRDefault="001C2968" w:rsidP="001C2968">
            <w:pPr>
              <w:rPr>
                <w:rFonts w:ascii="Arial" w:hAnsi="Arial" w:cs="Arial"/>
                <w:b/>
              </w:rPr>
            </w:pPr>
            <w:r w:rsidRPr="00464EFE">
              <w:rPr>
                <w:rFonts w:ascii="Arial" w:hAnsi="Arial" w:cs="Arial"/>
                <w:b/>
              </w:rPr>
              <w:t>Fairer Scotland Duty:</w:t>
            </w:r>
          </w:p>
        </w:tc>
        <w:tc>
          <w:tcPr>
            <w:tcW w:w="1418" w:type="dxa"/>
          </w:tcPr>
          <w:p w:rsidR="001C2968" w:rsidRPr="00464EFE" w:rsidRDefault="001C2968" w:rsidP="001C2968">
            <w:pPr>
              <w:rPr>
                <w:rFonts w:ascii="Arial" w:hAnsi="Arial" w:cs="Arial"/>
              </w:rPr>
            </w:pPr>
          </w:p>
        </w:tc>
        <w:tc>
          <w:tcPr>
            <w:tcW w:w="1559" w:type="dxa"/>
          </w:tcPr>
          <w:p w:rsidR="001C2968" w:rsidRPr="00464EFE" w:rsidRDefault="001C2968" w:rsidP="001C2968">
            <w:pPr>
              <w:rPr>
                <w:rFonts w:ascii="Arial" w:hAnsi="Arial" w:cs="Arial"/>
              </w:rPr>
            </w:pPr>
          </w:p>
        </w:tc>
        <w:tc>
          <w:tcPr>
            <w:tcW w:w="1559" w:type="dxa"/>
          </w:tcPr>
          <w:p w:rsidR="001C2968" w:rsidRPr="00464EFE" w:rsidRDefault="001C2968" w:rsidP="001C2968">
            <w:pPr>
              <w:rPr>
                <w:rFonts w:ascii="Arial" w:hAnsi="Arial" w:cs="Arial"/>
              </w:rPr>
            </w:pPr>
          </w:p>
        </w:tc>
        <w:tc>
          <w:tcPr>
            <w:tcW w:w="1418" w:type="dxa"/>
          </w:tcPr>
          <w:p w:rsidR="001C2968" w:rsidRPr="00464EFE" w:rsidRDefault="001C2968" w:rsidP="001C2968">
            <w:pPr>
              <w:rPr>
                <w:rFonts w:ascii="Arial" w:hAnsi="Arial" w:cs="Arial"/>
              </w:rPr>
            </w:pPr>
          </w:p>
        </w:tc>
      </w:tr>
      <w:tr w:rsidR="001C2968" w:rsidRPr="00464EFE" w:rsidTr="38B641A1">
        <w:tc>
          <w:tcPr>
            <w:tcW w:w="3397" w:type="dxa"/>
          </w:tcPr>
          <w:p w:rsidR="001C2968" w:rsidRPr="00464EFE" w:rsidRDefault="001C2968" w:rsidP="001C2968">
            <w:pPr>
              <w:rPr>
                <w:rFonts w:ascii="Arial" w:hAnsi="Arial" w:cs="Arial"/>
              </w:rPr>
            </w:pPr>
            <w:r w:rsidRPr="00464EFE">
              <w:rPr>
                <w:rFonts w:ascii="Arial" w:hAnsi="Arial" w:cs="Arial"/>
              </w:rPr>
              <w:t>Mainland rural population</w:t>
            </w:r>
          </w:p>
        </w:tc>
        <w:tc>
          <w:tcPr>
            <w:tcW w:w="1418" w:type="dxa"/>
          </w:tcPr>
          <w:p w:rsidR="001C2968" w:rsidRPr="00464EFE" w:rsidRDefault="00914D5B" w:rsidP="001C2968">
            <w:pPr>
              <w:rPr>
                <w:rFonts w:ascii="Arial" w:hAnsi="Arial" w:cs="Arial"/>
              </w:rPr>
            </w:pPr>
            <w:r>
              <w:rPr>
                <w:rFonts w:ascii="Arial" w:hAnsi="Arial" w:cs="Arial"/>
              </w:rPr>
              <w:t>x</w:t>
            </w:r>
          </w:p>
        </w:tc>
        <w:tc>
          <w:tcPr>
            <w:tcW w:w="1559" w:type="dxa"/>
          </w:tcPr>
          <w:p w:rsidR="001C2968" w:rsidRPr="00464EFE" w:rsidRDefault="001C2968" w:rsidP="001C2968">
            <w:pPr>
              <w:rPr>
                <w:rFonts w:ascii="Arial" w:hAnsi="Arial" w:cs="Arial"/>
              </w:rPr>
            </w:pPr>
          </w:p>
        </w:tc>
        <w:tc>
          <w:tcPr>
            <w:tcW w:w="1559" w:type="dxa"/>
          </w:tcPr>
          <w:p w:rsidR="001C2968" w:rsidRPr="00464EFE" w:rsidRDefault="001C2968" w:rsidP="001C2968">
            <w:pPr>
              <w:rPr>
                <w:rFonts w:ascii="Arial" w:hAnsi="Arial" w:cs="Arial"/>
              </w:rPr>
            </w:pPr>
          </w:p>
        </w:tc>
        <w:tc>
          <w:tcPr>
            <w:tcW w:w="1418" w:type="dxa"/>
          </w:tcPr>
          <w:p w:rsidR="001C2968" w:rsidRPr="00464EFE" w:rsidRDefault="001C2968" w:rsidP="001C2968">
            <w:pPr>
              <w:rPr>
                <w:rFonts w:ascii="Arial" w:hAnsi="Arial" w:cs="Arial"/>
              </w:rPr>
            </w:pPr>
          </w:p>
        </w:tc>
      </w:tr>
      <w:tr w:rsidR="001C2968" w:rsidRPr="00464EFE" w:rsidTr="38B641A1">
        <w:tc>
          <w:tcPr>
            <w:tcW w:w="3397" w:type="dxa"/>
          </w:tcPr>
          <w:p w:rsidR="001C2968" w:rsidRPr="00464EFE" w:rsidRDefault="001C2968" w:rsidP="001C2968">
            <w:pPr>
              <w:rPr>
                <w:rFonts w:ascii="Arial" w:hAnsi="Arial" w:cs="Arial"/>
              </w:rPr>
            </w:pPr>
            <w:r w:rsidRPr="00464EFE">
              <w:rPr>
                <w:rFonts w:ascii="Arial" w:hAnsi="Arial" w:cs="Arial"/>
              </w:rPr>
              <w:t>Island populations</w:t>
            </w:r>
          </w:p>
        </w:tc>
        <w:tc>
          <w:tcPr>
            <w:tcW w:w="1418" w:type="dxa"/>
          </w:tcPr>
          <w:p w:rsidR="001C2968" w:rsidRPr="00464EFE" w:rsidRDefault="00914D5B" w:rsidP="001C2968">
            <w:pPr>
              <w:rPr>
                <w:rFonts w:ascii="Arial" w:hAnsi="Arial" w:cs="Arial"/>
              </w:rPr>
            </w:pPr>
            <w:r>
              <w:rPr>
                <w:rFonts w:ascii="Arial" w:hAnsi="Arial" w:cs="Arial"/>
              </w:rPr>
              <w:t>x</w:t>
            </w:r>
          </w:p>
        </w:tc>
        <w:tc>
          <w:tcPr>
            <w:tcW w:w="1559" w:type="dxa"/>
          </w:tcPr>
          <w:p w:rsidR="001C2968" w:rsidRPr="00464EFE" w:rsidRDefault="001C2968" w:rsidP="001C2968">
            <w:pPr>
              <w:rPr>
                <w:rFonts w:ascii="Arial" w:hAnsi="Arial" w:cs="Arial"/>
              </w:rPr>
            </w:pPr>
          </w:p>
        </w:tc>
        <w:tc>
          <w:tcPr>
            <w:tcW w:w="1559" w:type="dxa"/>
          </w:tcPr>
          <w:p w:rsidR="001C2968" w:rsidRPr="00464EFE" w:rsidRDefault="001C2968" w:rsidP="001C2968">
            <w:pPr>
              <w:rPr>
                <w:rFonts w:ascii="Arial" w:hAnsi="Arial" w:cs="Arial"/>
              </w:rPr>
            </w:pPr>
          </w:p>
        </w:tc>
        <w:tc>
          <w:tcPr>
            <w:tcW w:w="1418" w:type="dxa"/>
          </w:tcPr>
          <w:p w:rsidR="001C2968" w:rsidRPr="00464EFE" w:rsidRDefault="001C2968" w:rsidP="001C2968">
            <w:pPr>
              <w:rPr>
                <w:rFonts w:ascii="Arial" w:hAnsi="Arial" w:cs="Arial"/>
              </w:rPr>
            </w:pPr>
          </w:p>
        </w:tc>
      </w:tr>
      <w:tr w:rsidR="001C2968" w:rsidRPr="00464EFE" w:rsidTr="38B641A1">
        <w:tc>
          <w:tcPr>
            <w:tcW w:w="3397" w:type="dxa"/>
          </w:tcPr>
          <w:p w:rsidR="001C2968" w:rsidRPr="00464EFE" w:rsidRDefault="001C2968" w:rsidP="001C2968">
            <w:pPr>
              <w:rPr>
                <w:rFonts w:ascii="Arial" w:hAnsi="Arial" w:cs="Arial"/>
              </w:rPr>
            </w:pPr>
            <w:r w:rsidRPr="00464EFE">
              <w:rPr>
                <w:rFonts w:ascii="Arial" w:hAnsi="Arial" w:cs="Arial"/>
              </w:rPr>
              <w:t xml:space="preserve">Low income </w:t>
            </w:r>
          </w:p>
        </w:tc>
        <w:tc>
          <w:tcPr>
            <w:tcW w:w="1418" w:type="dxa"/>
          </w:tcPr>
          <w:p w:rsidR="001C2968" w:rsidRPr="00464EFE" w:rsidRDefault="001C2968" w:rsidP="001C2968">
            <w:pPr>
              <w:rPr>
                <w:rFonts w:ascii="Arial" w:hAnsi="Arial" w:cs="Arial"/>
              </w:rPr>
            </w:pPr>
          </w:p>
        </w:tc>
        <w:tc>
          <w:tcPr>
            <w:tcW w:w="1559" w:type="dxa"/>
          </w:tcPr>
          <w:p w:rsidR="001C2968" w:rsidRPr="00464EFE" w:rsidRDefault="00EF4F09" w:rsidP="001C2968">
            <w:pPr>
              <w:rPr>
                <w:rFonts w:ascii="Arial" w:hAnsi="Arial" w:cs="Arial"/>
              </w:rPr>
            </w:pPr>
            <w:r>
              <w:rPr>
                <w:rFonts w:ascii="Arial" w:hAnsi="Arial" w:cs="Arial"/>
              </w:rPr>
              <w:t>x</w:t>
            </w:r>
          </w:p>
        </w:tc>
        <w:tc>
          <w:tcPr>
            <w:tcW w:w="1559" w:type="dxa"/>
          </w:tcPr>
          <w:p w:rsidR="001C2968" w:rsidRPr="00464EFE" w:rsidRDefault="001C2968" w:rsidP="001C2968">
            <w:pPr>
              <w:rPr>
                <w:rFonts w:ascii="Arial" w:hAnsi="Arial" w:cs="Arial"/>
              </w:rPr>
            </w:pPr>
          </w:p>
        </w:tc>
        <w:tc>
          <w:tcPr>
            <w:tcW w:w="1418" w:type="dxa"/>
          </w:tcPr>
          <w:p w:rsidR="001C2968" w:rsidRPr="00464EFE" w:rsidRDefault="001C2968" w:rsidP="001C2968">
            <w:pPr>
              <w:rPr>
                <w:rFonts w:ascii="Arial" w:hAnsi="Arial" w:cs="Arial"/>
              </w:rPr>
            </w:pPr>
          </w:p>
        </w:tc>
      </w:tr>
      <w:tr w:rsidR="001C2968" w:rsidRPr="00464EFE" w:rsidTr="38B641A1">
        <w:tc>
          <w:tcPr>
            <w:tcW w:w="3397" w:type="dxa"/>
          </w:tcPr>
          <w:p w:rsidR="001C2968" w:rsidRPr="00464EFE" w:rsidRDefault="001C2968" w:rsidP="001C2968">
            <w:pPr>
              <w:rPr>
                <w:rFonts w:ascii="Arial" w:hAnsi="Arial" w:cs="Arial"/>
              </w:rPr>
            </w:pPr>
            <w:r w:rsidRPr="00464EFE">
              <w:rPr>
                <w:rFonts w:ascii="Arial" w:hAnsi="Arial" w:cs="Arial"/>
              </w:rPr>
              <w:t>Low wealth</w:t>
            </w:r>
          </w:p>
        </w:tc>
        <w:tc>
          <w:tcPr>
            <w:tcW w:w="1418" w:type="dxa"/>
          </w:tcPr>
          <w:p w:rsidR="001C2968" w:rsidRPr="00464EFE" w:rsidRDefault="001C2968" w:rsidP="001C2968">
            <w:pPr>
              <w:rPr>
                <w:rFonts w:ascii="Arial" w:hAnsi="Arial" w:cs="Arial"/>
              </w:rPr>
            </w:pPr>
          </w:p>
        </w:tc>
        <w:tc>
          <w:tcPr>
            <w:tcW w:w="1559" w:type="dxa"/>
          </w:tcPr>
          <w:p w:rsidR="001C2968" w:rsidRPr="00464EFE" w:rsidRDefault="00EF4F09" w:rsidP="001C2968">
            <w:pPr>
              <w:rPr>
                <w:rFonts w:ascii="Arial" w:hAnsi="Arial" w:cs="Arial"/>
              </w:rPr>
            </w:pPr>
            <w:r>
              <w:rPr>
                <w:rFonts w:ascii="Arial" w:hAnsi="Arial" w:cs="Arial"/>
              </w:rPr>
              <w:t>x</w:t>
            </w:r>
          </w:p>
        </w:tc>
        <w:tc>
          <w:tcPr>
            <w:tcW w:w="1559" w:type="dxa"/>
          </w:tcPr>
          <w:p w:rsidR="001C2968" w:rsidRPr="00464EFE" w:rsidRDefault="001C2968" w:rsidP="001C2968">
            <w:pPr>
              <w:rPr>
                <w:rFonts w:ascii="Arial" w:hAnsi="Arial" w:cs="Arial"/>
              </w:rPr>
            </w:pPr>
          </w:p>
        </w:tc>
        <w:tc>
          <w:tcPr>
            <w:tcW w:w="1418" w:type="dxa"/>
          </w:tcPr>
          <w:p w:rsidR="001C2968" w:rsidRPr="00464EFE" w:rsidRDefault="001C2968" w:rsidP="001C2968">
            <w:pPr>
              <w:rPr>
                <w:rFonts w:ascii="Arial" w:hAnsi="Arial" w:cs="Arial"/>
              </w:rPr>
            </w:pPr>
          </w:p>
        </w:tc>
      </w:tr>
      <w:tr w:rsidR="001C2968" w:rsidRPr="00464EFE" w:rsidTr="38B641A1">
        <w:tc>
          <w:tcPr>
            <w:tcW w:w="3397" w:type="dxa"/>
          </w:tcPr>
          <w:p w:rsidR="001C2968" w:rsidRPr="00464EFE" w:rsidRDefault="001C2968" w:rsidP="001C2968">
            <w:pPr>
              <w:rPr>
                <w:rFonts w:ascii="Arial" w:hAnsi="Arial" w:cs="Arial"/>
              </w:rPr>
            </w:pPr>
            <w:r w:rsidRPr="00464EFE">
              <w:rPr>
                <w:rFonts w:ascii="Arial" w:hAnsi="Arial" w:cs="Arial"/>
              </w:rPr>
              <w:t>Material deprivation</w:t>
            </w:r>
          </w:p>
        </w:tc>
        <w:tc>
          <w:tcPr>
            <w:tcW w:w="1418" w:type="dxa"/>
          </w:tcPr>
          <w:p w:rsidR="001C2968" w:rsidRPr="00464EFE" w:rsidRDefault="001C2968" w:rsidP="001C2968">
            <w:pPr>
              <w:rPr>
                <w:rFonts w:ascii="Arial" w:hAnsi="Arial" w:cs="Arial"/>
              </w:rPr>
            </w:pPr>
          </w:p>
        </w:tc>
        <w:tc>
          <w:tcPr>
            <w:tcW w:w="1559" w:type="dxa"/>
          </w:tcPr>
          <w:p w:rsidR="001C2968" w:rsidRPr="00464EFE" w:rsidRDefault="001C2968" w:rsidP="001C2968">
            <w:pPr>
              <w:rPr>
                <w:rFonts w:ascii="Arial" w:hAnsi="Arial" w:cs="Arial"/>
              </w:rPr>
            </w:pPr>
            <w:r>
              <w:rPr>
                <w:rFonts w:ascii="Arial" w:hAnsi="Arial" w:cs="Arial"/>
              </w:rPr>
              <w:t>x</w:t>
            </w:r>
          </w:p>
        </w:tc>
        <w:tc>
          <w:tcPr>
            <w:tcW w:w="1559" w:type="dxa"/>
          </w:tcPr>
          <w:p w:rsidR="001C2968" w:rsidRPr="00464EFE" w:rsidRDefault="001C2968" w:rsidP="001C2968">
            <w:pPr>
              <w:rPr>
                <w:rFonts w:ascii="Arial" w:hAnsi="Arial" w:cs="Arial"/>
              </w:rPr>
            </w:pPr>
          </w:p>
        </w:tc>
        <w:tc>
          <w:tcPr>
            <w:tcW w:w="1418" w:type="dxa"/>
          </w:tcPr>
          <w:p w:rsidR="001C2968" w:rsidRPr="00464EFE" w:rsidRDefault="001C2968" w:rsidP="001C2968">
            <w:pPr>
              <w:rPr>
                <w:rFonts w:ascii="Arial" w:hAnsi="Arial" w:cs="Arial"/>
              </w:rPr>
            </w:pPr>
          </w:p>
        </w:tc>
      </w:tr>
      <w:tr w:rsidR="001C2968" w:rsidRPr="00464EFE" w:rsidTr="38B641A1">
        <w:tc>
          <w:tcPr>
            <w:tcW w:w="3397" w:type="dxa"/>
          </w:tcPr>
          <w:p w:rsidR="001C2968" w:rsidRPr="00464EFE" w:rsidRDefault="001C2968" w:rsidP="001C2968">
            <w:pPr>
              <w:rPr>
                <w:rFonts w:ascii="Arial" w:hAnsi="Arial" w:cs="Arial"/>
              </w:rPr>
            </w:pPr>
            <w:r w:rsidRPr="00464EFE">
              <w:rPr>
                <w:rFonts w:ascii="Arial" w:hAnsi="Arial" w:cs="Arial"/>
              </w:rPr>
              <w:t>Area deprivation</w:t>
            </w:r>
          </w:p>
        </w:tc>
        <w:tc>
          <w:tcPr>
            <w:tcW w:w="1418" w:type="dxa"/>
          </w:tcPr>
          <w:p w:rsidR="001C2968" w:rsidRPr="00464EFE" w:rsidRDefault="001C2968" w:rsidP="001C2968">
            <w:pPr>
              <w:rPr>
                <w:rFonts w:ascii="Arial" w:hAnsi="Arial" w:cs="Arial"/>
              </w:rPr>
            </w:pPr>
          </w:p>
        </w:tc>
        <w:tc>
          <w:tcPr>
            <w:tcW w:w="1559" w:type="dxa"/>
          </w:tcPr>
          <w:p w:rsidR="001C2968" w:rsidRPr="00464EFE" w:rsidRDefault="001C2968" w:rsidP="001C2968">
            <w:pPr>
              <w:rPr>
                <w:rFonts w:ascii="Arial" w:hAnsi="Arial" w:cs="Arial"/>
              </w:rPr>
            </w:pPr>
            <w:r>
              <w:rPr>
                <w:rFonts w:ascii="Arial" w:hAnsi="Arial" w:cs="Arial"/>
              </w:rPr>
              <w:t>x</w:t>
            </w:r>
          </w:p>
        </w:tc>
        <w:tc>
          <w:tcPr>
            <w:tcW w:w="1559" w:type="dxa"/>
          </w:tcPr>
          <w:p w:rsidR="001C2968" w:rsidRPr="00464EFE" w:rsidRDefault="001C2968" w:rsidP="001C2968">
            <w:pPr>
              <w:rPr>
                <w:rFonts w:ascii="Arial" w:hAnsi="Arial" w:cs="Arial"/>
              </w:rPr>
            </w:pPr>
          </w:p>
        </w:tc>
        <w:tc>
          <w:tcPr>
            <w:tcW w:w="1418" w:type="dxa"/>
          </w:tcPr>
          <w:p w:rsidR="001C2968" w:rsidRPr="00464EFE" w:rsidRDefault="001C2968" w:rsidP="001C2968">
            <w:pPr>
              <w:rPr>
                <w:rFonts w:ascii="Arial" w:hAnsi="Arial" w:cs="Arial"/>
              </w:rPr>
            </w:pPr>
          </w:p>
        </w:tc>
      </w:tr>
      <w:tr w:rsidR="001C2968" w:rsidRPr="00464EFE" w:rsidTr="38B641A1">
        <w:tc>
          <w:tcPr>
            <w:tcW w:w="3397" w:type="dxa"/>
          </w:tcPr>
          <w:p w:rsidR="001C2968" w:rsidRPr="00464EFE" w:rsidRDefault="001C2968" w:rsidP="001C2968">
            <w:pPr>
              <w:rPr>
                <w:rFonts w:ascii="Arial" w:hAnsi="Arial" w:cs="Arial"/>
              </w:rPr>
            </w:pPr>
            <w:r w:rsidRPr="00464EFE">
              <w:rPr>
                <w:rFonts w:ascii="Arial" w:hAnsi="Arial" w:cs="Arial"/>
              </w:rPr>
              <w:t>Socio-economic background</w:t>
            </w:r>
          </w:p>
        </w:tc>
        <w:tc>
          <w:tcPr>
            <w:tcW w:w="1418" w:type="dxa"/>
          </w:tcPr>
          <w:p w:rsidR="001C2968" w:rsidRPr="00464EFE" w:rsidRDefault="001C2968" w:rsidP="001C2968">
            <w:pPr>
              <w:rPr>
                <w:rFonts w:ascii="Arial" w:hAnsi="Arial" w:cs="Arial"/>
              </w:rPr>
            </w:pPr>
          </w:p>
        </w:tc>
        <w:tc>
          <w:tcPr>
            <w:tcW w:w="1559" w:type="dxa"/>
          </w:tcPr>
          <w:p w:rsidR="001C2968" w:rsidRPr="00464EFE" w:rsidRDefault="001C2968" w:rsidP="001C2968">
            <w:pPr>
              <w:rPr>
                <w:rFonts w:ascii="Arial" w:hAnsi="Arial" w:cs="Arial"/>
              </w:rPr>
            </w:pPr>
            <w:r>
              <w:rPr>
                <w:rFonts w:ascii="Arial" w:hAnsi="Arial" w:cs="Arial"/>
              </w:rPr>
              <w:t>x</w:t>
            </w:r>
          </w:p>
        </w:tc>
        <w:tc>
          <w:tcPr>
            <w:tcW w:w="1559" w:type="dxa"/>
          </w:tcPr>
          <w:p w:rsidR="001C2968" w:rsidRPr="00464EFE" w:rsidRDefault="001C2968" w:rsidP="001C2968">
            <w:pPr>
              <w:rPr>
                <w:rFonts w:ascii="Arial" w:hAnsi="Arial" w:cs="Arial"/>
              </w:rPr>
            </w:pPr>
          </w:p>
        </w:tc>
        <w:tc>
          <w:tcPr>
            <w:tcW w:w="1418" w:type="dxa"/>
          </w:tcPr>
          <w:p w:rsidR="001C2968" w:rsidRPr="00464EFE" w:rsidRDefault="001C2968" w:rsidP="001C2968">
            <w:pPr>
              <w:rPr>
                <w:rFonts w:ascii="Arial" w:hAnsi="Arial" w:cs="Arial"/>
              </w:rPr>
            </w:pPr>
          </w:p>
        </w:tc>
      </w:tr>
      <w:tr w:rsidR="001C2968" w:rsidRPr="00464EFE" w:rsidTr="38B641A1">
        <w:tc>
          <w:tcPr>
            <w:tcW w:w="3397" w:type="dxa"/>
          </w:tcPr>
          <w:p w:rsidR="001C2968" w:rsidRPr="00464EFE" w:rsidRDefault="001C2968" w:rsidP="001C2968">
            <w:pPr>
              <w:rPr>
                <w:rFonts w:ascii="Arial" w:hAnsi="Arial" w:cs="Arial"/>
              </w:rPr>
            </w:pPr>
            <w:r w:rsidRPr="00464EFE">
              <w:rPr>
                <w:rFonts w:ascii="Arial" w:hAnsi="Arial" w:cs="Arial"/>
              </w:rPr>
              <w:t>Communities of place</w:t>
            </w:r>
          </w:p>
        </w:tc>
        <w:tc>
          <w:tcPr>
            <w:tcW w:w="1418" w:type="dxa"/>
          </w:tcPr>
          <w:p w:rsidR="001C2968" w:rsidRPr="00464EFE" w:rsidRDefault="00914D5B" w:rsidP="001C2968">
            <w:pPr>
              <w:rPr>
                <w:rFonts w:ascii="Arial" w:hAnsi="Arial" w:cs="Arial"/>
              </w:rPr>
            </w:pPr>
            <w:r>
              <w:rPr>
                <w:rFonts w:ascii="Arial" w:hAnsi="Arial" w:cs="Arial"/>
              </w:rPr>
              <w:t>x</w:t>
            </w:r>
          </w:p>
        </w:tc>
        <w:tc>
          <w:tcPr>
            <w:tcW w:w="1559" w:type="dxa"/>
          </w:tcPr>
          <w:p w:rsidR="001C2968" w:rsidRPr="00464EFE" w:rsidRDefault="001C2968" w:rsidP="001C2968">
            <w:pPr>
              <w:rPr>
                <w:rFonts w:ascii="Arial" w:hAnsi="Arial" w:cs="Arial"/>
              </w:rPr>
            </w:pPr>
          </w:p>
        </w:tc>
        <w:tc>
          <w:tcPr>
            <w:tcW w:w="1559" w:type="dxa"/>
          </w:tcPr>
          <w:p w:rsidR="001C2968" w:rsidRPr="00464EFE" w:rsidRDefault="001C2968" w:rsidP="001C2968">
            <w:pPr>
              <w:rPr>
                <w:rFonts w:ascii="Arial" w:hAnsi="Arial" w:cs="Arial"/>
              </w:rPr>
            </w:pPr>
          </w:p>
        </w:tc>
        <w:tc>
          <w:tcPr>
            <w:tcW w:w="1418" w:type="dxa"/>
          </w:tcPr>
          <w:p w:rsidR="001C2968" w:rsidRPr="00464EFE" w:rsidRDefault="001C2968" w:rsidP="001C2968">
            <w:pPr>
              <w:rPr>
                <w:rFonts w:ascii="Arial" w:hAnsi="Arial" w:cs="Arial"/>
              </w:rPr>
            </w:pPr>
          </w:p>
        </w:tc>
      </w:tr>
      <w:tr w:rsidR="001C2968" w:rsidRPr="00464EFE" w:rsidTr="38B641A1">
        <w:tc>
          <w:tcPr>
            <w:tcW w:w="3397" w:type="dxa"/>
          </w:tcPr>
          <w:p w:rsidR="001C2968" w:rsidRPr="00464EFE" w:rsidRDefault="001C2968" w:rsidP="001C2968">
            <w:pPr>
              <w:rPr>
                <w:rFonts w:ascii="Arial" w:hAnsi="Arial" w:cs="Arial"/>
              </w:rPr>
            </w:pPr>
            <w:r w:rsidRPr="00464EFE">
              <w:rPr>
                <w:rFonts w:ascii="Arial" w:hAnsi="Arial" w:cs="Arial"/>
              </w:rPr>
              <w:t>Communities of interest</w:t>
            </w:r>
          </w:p>
        </w:tc>
        <w:tc>
          <w:tcPr>
            <w:tcW w:w="1418" w:type="dxa"/>
          </w:tcPr>
          <w:p w:rsidR="001C2968" w:rsidRPr="00464EFE" w:rsidRDefault="00914D5B" w:rsidP="001C2968">
            <w:pPr>
              <w:rPr>
                <w:rFonts w:ascii="Arial" w:hAnsi="Arial" w:cs="Arial"/>
              </w:rPr>
            </w:pPr>
            <w:r>
              <w:rPr>
                <w:rFonts w:ascii="Arial" w:hAnsi="Arial" w:cs="Arial"/>
              </w:rPr>
              <w:t>x</w:t>
            </w:r>
          </w:p>
        </w:tc>
        <w:tc>
          <w:tcPr>
            <w:tcW w:w="1559" w:type="dxa"/>
          </w:tcPr>
          <w:p w:rsidR="001C2968" w:rsidRPr="00464EFE" w:rsidRDefault="001C2968" w:rsidP="001C2968">
            <w:pPr>
              <w:rPr>
                <w:rFonts w:ascii="Arial" w:hAnsi="Arial" w:cs="Arial"/>
              </w:rPr>
            </w:pPr>
          </w:p>
        </w:tc>
        <w:tc>
          <w:tcPr>
            <w:tcW w:w="1559" w:type="dxa"/>
          </w:tcPr>
          <w:p w:rsidR="001C2968" w:rsidRPr="00464EFE" w:rsidRDefault="001C2968" w:rsidP="001C2968">
            <w:pPr>
              <w:rPr>
                <w:rFonts w:ascii="Arial" w:hAnsi="Arial" w:cs="Arial"/>
              </w:rPr>
            </w:pPr>
          </w:p>
        </w:tc>
        <w:tc>
          <w:tcPr>
            <w:tcW w:w="1418" w:type="dxa"/>
          </w:tcPr>
          <w:p w:rsidR="001C2968" w:rsidRPr="00464EFE" w:rsidRDefault="001C2968" w:rsidP="001C2968">
            <w:pPr>
              <w:rPr>
                <w:rFonts w:ascii="Arial" w:hAnsi="Arial" w:cs="Arial"/>
              </w:rPr>
            </w:pPr>
          </w:p>
        </w:tc>
      </w:tr>
    </w:tbl>
    <w:p w:rsidR="00B62FC1" w:rsidRDefault="00B62FC1" w:rsidP="00B62FC1">
      <w:pPr>
        <w:rPr>
          <w:rFonts w:ascii="Arial" w:hAnsi="Arial" w:cs="Arial"/>
        </w:rPr>
      </w:pPr>
    </w:p>
    <w:p w:rsidR="009D63B4" w:rsidRDefault="009D63B4" w:rsidP="009D63B4">
      <w:pPr>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D63B4" w:rsidRPr="00464EFE" w:rsidTr="38B641A1">
        <w:tc>
          <w:tcPr>
            <w:tcW w:w="9351" w:type="dxa"/>
          </w:tcPr>
          <w:p w:rsidR="009D63B4" w:rsidRPr="00464EFE" w:rsidRDefault="009D63B4" w:rsidP="009D63B4">
            <w:pPr>
              <w:rPr>
                <w:rFonts w:ascii="Arial" w:hAnsi="Arial" w:cs="Arial"/>
                <w:b/>
                <w:highlight w:val="yellow"/>
              </w:rPr>
            </w:pPr>
            <w:r w:rsidRPr="00464EFE">
              <w:rPr>
                <w:rFonts w:ascii="Arial" w:hAnsi="Arial" w:cs="Arial"/>
                <w:b/>
              </w:rPr>
              <w:t>If you have identified any negative impacts on service users, give more detail here:</w:t>
            </w:r>
          </w:p>
        </w:tc>
      </w:tr>
      <w:tr w:rsidR="009D63B4" w:rsidRPr="00464EFE" w:rsidTr="38B641A1">
        <w:tc>
          <w:tcPr>
            <w:tcW w:w="9351" w:type="dxa"/>
          </w:tcPr>
          <w:p w:rsidR="009D63B4" w:rsidRDefault="009D63B4" w:rsidP="00F443BB">
            <w:pPr>
              <w:rPr>
                <w:rFonts w:ascii="Arial" w:hAnsi="Arial" w:cs="Arial"/>
                <w:highlight w:val="yellow"/>
              </w:rPr>
            </w:pPr>
          </w:p>
          <w:p w:rsidR="004C7BC0" w:rsidRDefault="004C7BC0" w:rsidP="00F443BB">
            <w:pPr>
              <w:rPr>
                <w:rFonts w:ascii="Arial" w:hAnsi="Arial" w:cs="Arial"/>
              </w:rPr>
            </w:pPr>
            <w:r>
              <w:rPr>
                <w:rFonts w:ascii="Arial" w:hAnsi="Arial" w:cs="Arial"/>
              </w:rPr>
              <w:t>ACUMEN currently provide services to the whole of Argyll and Bute, including many of our island communities. Significant work has been undertaken over the last few years to increase the engagement with those living in more rural and isolated areas across A&amp;B, including the island populations to share and promote their lived experiences. If the service was decommissioned, and service users were signposted elsewhere it’s likely that some of these voices may be lost</w:t>
            </w:r>
            <w:r w:rsidR="00550755">
              <w:rPr>
                <w:rFonts w:ascii="Arial" w:hAnsi="Arial" w:cs="Arial"/>
              </w:rPr>
              <w:t xml:space="preserve"> as part of the transitional process to other services</w:t>
            </w:r>
            <w:r w:rsidR="00F42EFE">
              <w:rPr>
                <w:rFonts w:ascii="Arial" w:hAnsi="Arial" w:cs="Arial"/>
              </w:rPr>
              <w:t>.</w:t>
            </w:r>
          </w:p>
          <w:p w:rsidR="00851024" w:rsidRDefault="00851024" w:rsidP="00F443BB">
            <w:pPr>
              <w:rPr>
                <w:rFonts w:ascii="Arial" w:hAnsi="Arial" w:cs="Arial"/>
              </w:rPr>
            </w:pPr>
          </w:p>
          <w:p w:rsidR="00851024" w:rsidRDefault="00851024" w:rsidP="00F443BB">
            <w:pPr>
              <w:rPr>
                <w:rFonts w:ascii="Arial" w:hAnsi="Arial" w:cs="Arial"/>
              </w:rPr>
            </w:pPr>
            <w:r>
              <w:rPr>
                <w:rFonts w:ascii="Arial" w:hAnsi="Arial" w:cs="Arial"/>
              </w:rPr>
              <w:t xml:space="preserve">As ACUMEN depends solely on the funding provided by A&amp;B in order to operate, removal of </w:t>
            </w:r>
            <w:r>
              <w:rPr>
                <w:rFonts w:ascii="Arial" w:hAnsi="Arial" w:cs="Arial"/>
              </w:rPr>
              <w:lastRenderedPageBreak/>
              <w:t>this funding will result in financial sustainability issues for the organisation and it’s unlikely that they will be able to continue operating within the locality.</w:t>
            </w:r>
          </w:p>
          <w:p w:rsidR="004C7BC0" w:rsidRDefault="004C7BC0" w:rsidP="00F443BB">
            <w:pPr>
              <w:rPr>
                <w:rFonts w:ascii="Arial" w:hAnsi="Arial" w:cs="Arial"/>
              </w:rPr>
            </w:pPr>
            <w:r>
              <w:rPr>
                <w:rFonts w:ascii="Arial" w:hAnsi="Arial" w:cs="Arial"/>
              </w:rPr>
              <w:t xml:space="preserve"> </w:t>
            </w:r>
          </w:p>
          <w:p w:rsidR="00C77D76" w:rsidRDefault="00C77D76" w:rsidP="00F443BB">
            <w:pPr>
              <w:rPr>
                <w:rFonts w:ascii="Arial" w:hAnsi="Arial" w:cs="Arial"/>
                <w:u w:val="single"/>
              </w:rPr>
            </w:pPr>
          </w:p>
          <w:p w:rsidR="004C7BC0" w:rsidRPr="00851024" w:rsidRDefault="004C7BC0" w:rsidP="00F443BB">
            <w:pPr>
              <w:rPr>
                <w:rFonts w:ascii="Arial" w:hAnsi="Arial" w:cs="Arial"/>
                <w:u w:val="single"/>
              </w:rPr>
            </w:pPr>
            <w:r w:rsidRPr="00851024">
              <w:rPr>
                <w:rFonts w:ascii="Arial" w:hAnsi="Arial" w:cs="Arial"/>
                <w:u w:val="single"/>
              </w:rPr>
              <w:t>Impact of COVID – 19</w:t>
            </w:r>
          </w:p>
          <w:p w:rsidR="00C77D76" w:rsidRDefault="00C77D76" w:rsidP="00F443BB">
            <w:pPr>
              <w:rPr>
                <w:rFonts w:ascii="Arial" w:hAnsi="Arial" w:cs="Arial"/>
              </w:rPr>
            </w:pPr>
          </w:p>
          <w:p w:rsidR="009A17AF" w:rsidRPr="00C72951" w:rsidRDefault="009A17AF" w:rsidP="00F443BB">
            <w:pPr>
              <w:rPr>
                <w:rFonts w:ascii="Arial" w:hAnsi="Arial" w:cs="Arial"/>
              </w:rPr>
            </w:pPr>
            <w:r w:rsidRPr="00C72951">
              <w:rPr>
                <w:rFonts w:ascii="Arial" w:hAnsi="Arial" w:cs="Arial"/>
              </w:rPr>
              <w:t xml:space="preserve">The impact of mental ill health across all aspects of our communities, age groups and demographics has never been more </w:t>
            </w:r>
            <w:r w:rsidR="004C7BC0">
              <w:rPr>
                <w:rFonts w:ascii="Arial" w:hAnsi="Arial" w:cs="Arial"/>
              </w:rPr>
              <w:t>important.</w:t>
            </w:r>
            <w:r w:rsidRPr="00C72951">
              <w:rPr>
                <w:rFonts w:ascii="Arial" w:hAnsi="Arial" w:cs="Arial"/>
              </w:rPr>
              <w:t xml:space="preserve"> The </w:t>
            </w:r>
            <w:r w:rsidR="00C72951" w:rsidRPr="00C72951">
              <w:rPr>
                <w:rFonts w:ascii="Arial" w:hAnsi="Arial" w:cs="Arial"/>
              </w:rPr>
              <w:t>consequential</w:t>
            </w:r>
            <w:r w:rsidRPr="00C72951">
              <w:rPr>
                <w:rFonts w:ascii="Arial" w:hAnsi="Arial" w:cs="Arial"/>
              </w:rPr>
              <w:t xml:space="preserve"> long term effects of COVID and Mental Ill health is evident now and will remain a </w:t>
            </w:r>
            <w:r w:rsidR="00C72951" w:rsidRPr="00C72951">
              <w:rPr>
                <w:rFonts w:ascii="Arial" w:hAnsi="Arial" w:cs="Arial"/>
              </w:rPr>
              <w:t>feature</w:t>
            </w:r>
            <w:r w:rsidRPr="00C72951">
              <w:rPr>
                <w:rFonts w:ascii="Arial" w:hAnsi="Arial" w:cs="Arial"/>
              </w:rPr>
              <w:t xml:space="preserve"> throughout any recovery period.</w:t>
            </w:r>
          </w:p>
          <w:p w:rsidR="00C72951" w:rsidRPr="004C7BC0" w:rsidRDefault="005615F4" w:rsidP="008B10E1">
            <w:pPr>
              <w:rPr>
                <w:rFonts w:ascii="Arial" w:hAnsi="Arial" w:cs="Arial"/>
              </w:rPr>
            </w:pPr>
            <w:r w:rsidRPr="00C72951">
              <w:rPr>
                <w:rFonts w:ascii="Arial" w:hAnsi="Arial" w:cs="Arial"/>
              </w:rPr>
              <w:t xml:space="preserve">Mental Health is a key area of focus across Scotland and particularly in light of the current COVID-19 pandemic. Scottish Government has recently published the Coronavirus (COVID-19): Mental Health – Transition and Recovery Plan in order to address the challenges that the pandemic has had, and will continue to have on the population’s mental health. </w:t>
            </w:r>
            <w:r w:rsidR="00C72951" w:rsidRPr="00C72951">
              <w:rPr>
                <w:rFonts w:ascii="Arial" w:hAnsi="Arial" w:cs="Arial"/>
              </w:rPr>
              <w:t>The purpose of the plan is to deliver mental health services which are stronger and better, and which meet the evolving needs and expectations of people in Scotland.</w:t>
            </w:r>
            <w:r w:rsidR="004C7BC0">
              <w:rPr>
                <w:rFonts w:ascii="Arial" w:hAnsi="Arial" w:cs="Arial"/>
              </w:rPr>
              <w:t xml:space="preserve"> </w:t>
            </w:r>
            <w:r w:rsidR="00C72951" w:rsidRPr="00C72951">
              <w:rPr>
                <w:rFonts w:ascii="Arial" w:hAnsi="Arial" w:cs="Arial"/>
                <w:shd w:val="clear" w:color="auto" w:fill="FFFFFF"/>
              </w:rPr>
              <w:t>This will require a continued focus on early intervention, prevention, easier access, improvement and quality, and will involve partners and services across the whole health and social care integration landscape. The involvement of service users, and of the mental health workforce will be critically important.</w:t>
            </w:r>
            <w:r w:rsidR="004C7BC0">
              <w:rPr>
                <w:rFonts w:ascii="Arial" w:hAnsi="Arial" w:cs="Arial"/>
                <w:shd w:val="clear" w:color="auto" w:fill="FFFFFF"/>
              </w:rPr>
              <w:t xml:space="preserve"> If the service currently delivered by ACUMEN was to be decommissioned, Argyll and Bute may lose a vital opportunity to capture the lived experience of those affected by mental health in order to </w:t>
            </w:r>
            <w:r w:rsidR="008B10E1">
              <w:rPr>
                <w:rFonts w:ascii="Arial" w:hAnsi="Arial" w:cs="Arial"/>
                <w:shd w:val="clear" w:color="auto" w:fill="FFFFFF"/>
              </w:rPr>
              <w:t>inform future recovery and planning of mental health services.</w:t>
            </w:r>
          </w:p>
          <w:p w:rsidR="00910CE3" w:rsidRDefault="00910CE3" w:rsidP="008B10E1">
            <w:pPr>
              <w:rPr>
                <w:rFonts w:ascii="Helvetica" w:hAnsi="Helvetica" w:cs="Helvetica"/>
                <w:color w:val="333333"/>
                <w:shd w:val="clear" w:color="auto" w:fill="FFFFFF"/>
              </w:rPr>
            </w:pPr>
          </w:p>
          <w:p w:rsidR="00910CE3" w:rsidRPr="00851024" w:rsidRDefault="004C7BC0" w:rsidP="008B10E1">
            <w:pPr>
              <w:rPr>
                <w:rFonts w:ascii="Arial" w:hAnsi="Arial" w:cs="Arial"/>
                <w:u w:val="single"/>
                <w:shd w:val="clear" w:color="auto" w:fill="FFFFFF"/>
              </w:rPr>
            </w:pPr>
            <w:r w:rsidRPr="00851024">
              <w:rPr>
                <w:rFonts w:ascii="Arial" w:hAnsi="Arial" w:cs="Arial"/>
                <w:u w:val="single"/>
                <w:shd w:val="clear" w:color="auto" w:fill="FFFFFF"/>
              </w:rPr>
              <w:t>The I</w:t>
            </w:r>
            <w:r w:rsidR="00910CE3" w:rsidRPr="00851024">
              <w:rPr>
                <w:rFonts w:ascii="Arial" w:hAnsi="Arial" w:cs="Arial"/>
                <w:u w:val="single"/>
                <w:shd w:val="clear" w:color="auto" w:fill="FFFFFF"/>
              </w:rPr>
              <w:t>ndependent Review of Adult Social Care</w:t>
            </w:r>
          </w:p>
          <w:p w:rsidR="00C77D76" w:rsidRDefault="00C77D76" w:rsidP="008B10E1">
            <w:pPr>
              <w:rPr>
                <w:rFonts w:ascii="Arial" w:hAnsi="Arial" w:cs="Arial"/>
                <w:shd w:val="clear" w:color="auto" w:fill="FFFFFF"/>
              </w:rPr>
            </w:pPr>
          </w:p>
          <w:p w:rsidR="006A3A10" w:rsidRPr="008B10E1" w:rsidRDefault="006A3A10" w:rsidP="008B10E1">
            <w:pPr>
              <w:rPr>
                <w:rFonts w:ascii="Arial" w:hAnsi="Arial" w:cs="Arial"/>
                <w:shd w:val="clear" w:color="auto" w:fill="FFFFFF"/>
              </w:rPr>
            </w:pPr>
            <w:r w:rsidRPr="008B10E1">
              <w:rPr>
                <w:rFonts w:ascii="Arial" w:hAnsi="Arial" w:cs="Arial"/>
                <w:shd w:val="clear" w:color="auto" w:fill="FFFFFF"/>
              </w:rPr>
              <w:t>Within the recent Independent Review of Adult Social Care, the importance of incorporating people with lived experience into the planning</w:t>
            </w:r>
            <w:r w:rsidR="008B10E1">
              <w:rPr>
                <w:rFonts w:ascii="Arial" w:hAnsi="Arial" w:cs="Arial"/>
                <w:shd w:val="clear" w:color="auto" w:fill="FFFFFF"/>
              </w:rPr>
              <w:t xml:space="preserve"> of not just their own care and support, but the wider redesign of services</w:t>
            </w:r>
          </w:p>
          <w:p w:rsidR="00DA27ED" w:rsidRPr="008B10E1" w:rsidRDefault="008B10E1" w:rsidP="008B10E1">
            <w:pPr>
              <w:rPr>
                <w:rFonts w:ascii="Arial" w:hAnsi="Arial" w:cs="Arial"/>
                <w:shd w:val="clear" w:color="auto" w:fill="FFFFFF"/>
              </w:rPr>
            </w:pPr>
            <w:r>
              <w:rPr>
                <w:rStyle w:val="A2"/>
                <w:rFonts w:ascii="Arial" w:hAnsi="Arial" w:cs="Arial"/>
                <w:color w:val="auto"/>
              </w:rPr>
              <w:t>“</w:t>
            </w:r>
            <w:r w:rsidR="00DA27ED" w:rsidRPr="008B10E1">
              <w:rPr>
                <w:rStyle w:val="A2"/>
                <w:rFonts w:ascii="Arial" w:hAnsi="Arial" w:cs="Arial"/>
                <w:color w:val="auto"/>
              </w:rPr>
              <w:t>At the population level, Integration Joint Boards and locality planners need to do a better job of building the user voice into their considerations. People with lived experience must be partners in the commissioning process and integral to decision-making and prioritisation, monitoring progress and making improvements; nothing about me, without me, as the saying goes</w:t>
            </w:r>
            <w:r>
              <w:rPr>
                <w:rStyle w:val="A2"/>
                <w:rFonts w:ascii="Arial" w:hAnsi="Arial" w:cs="Arial"/>
                <w:color w:val="auto"/>
              </w:rPr>
              <w:t>”</w:t>
            </w:r>
            <w:r w:rsidR="00DA27ED" w:rsidRPr="008B10E1">
              <w:rPr>
                <w:rStyle w:val="A2"/>
                <w:rFonts w:ascii="Arial" w:hAnsi="Arial" w:cs="Arial"/>
                <w:color w:val="auto"/>
              </w:rPr>
              <w:t>.</w:t>
            </w:r>
          </w:p>
          <w:p w:rsidR="00E920CE" w:rsidRPr="008B10E1" w:rsidRDefault="008B10E1" w:rsidP="008B10E1">
            <w:pPr>
              <w:rPr>
                <w:rStyle w:val="A2"/>
                <w:rFonts w:ascii="Arial" w:hAnsi="Arial" w:cs="Arial"/>
                <w:color w:val="auto"/>
              </w:rPr>
            </w:pPr>
            <w:r>
              <w:rPr>
                <w:rStyle w:val="A2"/>
                <w:rFonts w:ascii="Arial" w:hAnsi="Arial" w:cs="Arial"/>
                <w:color w:val="auto"/>
              </w:rPr>
              <w:t>“</w:t>
            </w:r>
            <w:r w:rsidR="00B854EB" w:rsidRPr="008B10E1">
              <w:rPr>
                <w:rStyle w:val="A2"/>
                <w:rFonts w:ascii="Arial" w:hAnsi="Arial" w:cs="Arial"/>
                <w:color w:val="auto"/>
              </w:rPr>
              <w:t>People with lived experience told us they want to be more involved, not just in the planning of their own care, but in the planning and design of services and they self-evidently have much to offer in this regard. In some instances peer groups, such as Disabled Persons’ Organisations, Collective Advocacy Agencies and other representative groups, can play a very valuable role too</w:t>
            </w:r>
            <w:r>
              <w:rPr>
                <w:rStyle w:val="A2"/>
                <w:rFonts w:ascii="Arial" w:hAnsi="Arial" w:cs="Arial"/>
                <w:color w:val="auto"/>
              </w:rPr>
              <w:t>”</w:t>
            </w:r>
            <w:r w:rsidR="00B854EB" w:rsidRPr="008B10E1">
              <w:rPr>
                <w:rStyle w:val="A2"/>
                <w:rFonts w:ascii="Arial" w:hAnsi="Arial" w:cs="Arial"/>
                <w:color w:val="auto"/>
              </w:rPr>
              <w:t>.</w:t>
            </w:r>
          </w:p>
          <w:p w:rsidR="008B10E1" w:rsidRDefault="00436073" w:rsidP="008B10E1">
            <w:pPr>
              <w:pStyle w:val="Pa45"/>
              <w:spacing w:after="40"/>
              <w:ind w:hanging="380"/>
              <w:rPr>
                <w:rStyle w:val="A2"/>
                <w:rFonts w:ascii="Arial" w:hAnsi="Arial" w:cs="Arial"/>
                <w:color w:val="auto"/>
              </w:rPr>
            </w:pPr>
            <w:r w:rsidRPr="008B10E1">
              <w:rPr>
                <w:rStyle w:val="A2"/>
                <w:rFonts w:ascii="Arial" w:hAnsi="Arial" w:cs="Arial"/>
                <w:color w:val="auto"/>
              </w:rPr>
              <w:lastRenderedPageBreak/>
              <w:t>Co</w:t>
            </w:r>
            <w:r w:rsidR="008B10E1">
              <w:rPr>
                <w:rStyle w:val="A2"/>
                <w:rFonts w:ascii="Arial" w:hAnsi="Arial" w:cs="Arial"/>
                <w:color w:val="auto"/>
              </w:rPr>
              <w:t xml:space="preserve"> “Co</w:t>
            </w:r>
            <w:r w:rsidRPr="008B10E1">
              <w:rPr>
                <w:rStyle w:val="A2"/>
                <w:rFonts w:ascii="Arial" w:hAnsi="Arial" w:cs="Arial"/>
                <w:color w:val="auto"/>
              </w:rPr>
              <w:t>mmissioners should focus on establishing a system where a range of people, including people with lived experience, unpaid carers, local communities, providers and other professionals are routinely involved in the co-design and redesign, as well as the monitoring of services and supports. This system should form the basis of a collaborative, rights based and participative approach</w:t>
            </w:r>
            <w:r w:rsidR="008B10E1">
              <w:rPr>
                <w:rStyle w:val="A2"/>
                <w:rFonts w:ascii="Arial" w:hAnsi="Arial" w:cs="Arial"/>
                <w:color w:val="auto"/>
              </w:rPr>
              <w:t>”</w:t>
            </w:r>
            <w:r w:rsidRPr="008B10E1">
              <w:rPr>
                <w:rStyle w:val="A2"/>
                <w:rFonts w:ascii="Arial" w:hAnsi="Arial" w:cs="Arial"/>
                <w:color w:val="auto"/>
              </w:rPr>
              <w:t>.</w:t>
            </w:r>
          </w:p>
          <w:p w:rsidR="008B10E1" w:rsidRPr="009C51B7" w:rsidRDefault="00851024" w:rsidP="008B10E1">
            <w:pPr>
              <w:rPr>
                <w:rFonts w:ascii="Arial" w:hAnsi="Arial" w:cs="Arial"/>
                <w:lang w:eastAsia="ja-JP"/>
              </w:rPr>
            </w:pPr>
            <w:r w:rsidRPr="009C51B7">
              <w:rPr>
                <w:rFonts w:ascii="Arial" w:hAnsi="Arial" w:cs="Arial"/>
                <w:lang w:eastAsia="ja-JP"/>
              </w:rPr>
              <w:t>The importance of organisations such as ACUMEN</w:t>
            </w:r>
            <w:r w:rsidR="00205B4A" w:rsidRPr="009C51B7">
              <w:rPr>
                <w:rFonts w:ascii="Arial" w:hAnsi="Arial" w:cs="Arial"/>
                <w:lang w:eastAsia="ja-JP"/>
              </w:rPr>
              <w:t xml:space="preserve"> who </w:t>
            </w:r>
            <w:r w:rsidR="009C51B7" w:rsidRPr="009C51B7">
              <w:rPr>
                <w:rFonts w:ascii="Arial" w:hAnsi="Arial" w:cs="Arial"/>
                <w:lang w:eastAsia="ja-JP"/>
              </w:rPr>
              <w:t xml:space="preserve">ensure the voices of those with lived experiences of mental health issues </w:t>
            </w:r>
            <w:r w:rsidR="009C51B7">
              <w:rPr>
                <w:rFonts w:ascii="Arial" w:hAnsi="Arial" w:cs="Arial"/>
                <w:lang w:eastAsia="ja-JP"/>
              </w:rPr>
              <w:t>are heard and used to co-design/</w:t>
            </w:r>
            <w:r w:rsidR="009C51B7" w:rsidRPr="009C51B7">
              <w:rPr>
                <w:rFonts w:ascii="Arial" w:hAnsi="Arial" w:cs="Arial"/>
                <w:lang w:eastAsia="ja-JP"/>
              </w:rPr>
              <w:t xml:space="preserve">co-produce future mental health services is clearly highlighted through the Review. </w:t>
            </w:r>
          </w:p>
          <w:p w:rsidR="009C51B7" w:rsidRPr="009C51B7" w:rsidRDefault="009C51B7" w:rsidP="008B10E1">
            <w:pPr>
              <w:rPr>
                <w:rFonts w:ascii="Arial" w:hAnsi="Arial" w:cs="Arial"/>
                <w:lang w:eastAsia="ja-JP"/>
              </w:rPr>
            </w:pPr>
            <w:r w:rsidRPr="009C51B7">
              <w:rPr>
                <w:rFonts w:ascii="Arial" w:hAnsi="Arial" w:cs="Arial"/>
                <w:lang w:eastAsia="ja-JP"/>
              </w:rPr>
              <w:t>There is a risk that the lived experience of those with mental health illnesses will not be captured as a result of the service being decommissioned.</w:t>
            </w:r>
          </w:p>
          <w:p w:rsidR="008B10E1" w:rsidRDefault="008B10E1" w:rsidP="008B10E1">
            <w:pPr>
              <w:pStyle w:val="Pa45"/>
              <w:spacing w:after="40"/>
              <w:ind w:hanging="380"/>
              <w:rPr>
                <w:rStyle w:val="A2"/>
                <w:rFonts w:ascii="Arial" w:hAnsi="Arial" w:cs="Arial"/>
                <w:color w:val="auto"/>
              </w:rPr>
            </w:pPr>
          </w:p>
          <w:p w:rsidR="00436073" w:rsidRPr="008B10E1" w:rsidRDefault="00436073" w:rsidP="008B10E1">
            <w:pPr>
              <w:pStyle w:val="Pa45"/>
              <w:spacing w:after="40"/>
              <w:ind w:hanging="380"/>
              <w:rPr>
                <w:rFonts w:ascii="Arial" w:hAnsi="Arial" w:cs="Arial"/>
              </w:rPr>
            </w:pPr>
          </w:p>
          <w:p w:rsidR="00436073" w:rsidRPr="00C72951" w:rsidRDefault="00436073" w:rsidP="00F443BB">
            <w:pPr>
              <w:rPr>
                <w:rFonts w:ascii="Arial" w:hAnsi="Arial" w:cs="Arial"/>
                <w:highlight w:val="yellow"/>
              </w:rPr>
            </w:pPr>
          </w:p>
        </w:tc>
      </w:tr>
      <w:tr w:rsidR="008B10E1" w:rsidRPr="00464EFE" w:rsidTr="38B641A1">
        <w:tc>
          <w:tcPr>
            <w:tcW w:w="9351" w:type="dxa"/>
          </w:tcPr>
          <w:p w:rsidR="008B10E1" w:rsidRDefault="008B10E1" w:rsidP="00F443BB">
            <w:pPr>
              <w:rPr>
                <w:rFonts w:ascii="Arial" w:hAnsi="Arial" w:cs="Arial"/>
                <w:highlight w:val="yellow"/>
              </w:rPr>
            </w:pPr>
          </w:p>
        </w:tc>
      </w:tr>
    </w:tbl>
    <w:p w:rsidR="009D63B4" w:rsidRDefault="009D63B4" w:rsidP="009D63B4">
      <w:pPr>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D63B4" w:rsidRPr="00464EFE" w:rsidTr="00464EFE">
        <w:trPr>
          <w:cantSplit/>
        </w:trPr>
        <w:tc>
          <w:tcPr>
            <w:tcW w:w="9351" w:type="dxa"/>
          </w:tcPr>
          <w:p w:rsidR="009D63B4" w:rsidRPr="00464EFE" w:rsidRDefault="009D63B4" w:rsidP="009D63B4">
            <w:pPr>
              <w:rPr>
                <w:rFonts w:ascii="Arial" w:hAnsi="Arial" w:cs="Arial"/>
                <w:b/>
              </w:rPr>
            </w:pPr>
            <w:r w:rsidRPr="00464EFE">
              <w:rPr>
                <w:rFonts w:ascii="Arial" w:hAnsi="Arial" w:cs="Arial"/>
                <w:b/>
              </w:rPr>
              <w:t>If any ‘don’t knows’ have been identified, when will impacts on these groups be clear?</w:t>
            </w:r>
          </w:p>
        </w:tc>
      </w:tr>
      <w:tr w:rsidR="009D63B4" w:rsidRPr="00464EFE" w:rsidTr="00464EFE">
        <w:trPr>
          <w:cantSplit/>
        </w:trPr>
        <w:tc>
          <w:tcPr>
            <w:tcW w:w="9351" w:type="dxa"/>
          </w:tcPr>
          <w:p w:rsidR="001C2968" w:rsidRPr="00464EFE" w:rsidRDefault="00E920CE" w:rsidP="001C2968">
            <w:pPr>
              <w:rPr>
                <w:rFonts w:ascii="Arial" w:hAnsi="Arial" w:cs="Arial"/>
              </w:rPr>
            </w:pPr>
            <w:r>
              <w:rPr>
                <w:rFonts w:ascii="Arial" w:hAnsi="Arial" w:cs="Arial"/>
              </w:rPr>
              <w:t>N/A</w:t>
            </w:r>
          </w:p>
          <w:p w:rsidR="009D63B4" w:rsidRPr="00464EFE" w:rsidRDefault="009D63B4" w:rsidP="00F443BB">
            <w:pPr>
              <w:rPr>
                <w:rFonts w:ascii="Arial" w:hAnsi="Arial" w:cs="Arial"/>
              </w:rPr>
            </w:pPr>
          </w:p>
        </w:tc>
      </w:tr>
    </w:tbl>
    <w:p w:rsidR="009D63B4" w:rsidRDefault="009D63B4" w:rsidP="009D63B4">
      <w:pPr>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D63B4" w:rsidRPr="00464EFE" w:rsidTr="00464EFE">
        <w:tc>
          <w:tcPr>
            <w:tcW w:w="9351" w:type="dxa"/>
          </w:tcPr>
          <w:p w:rsidR="009D63B4" w:rsidRPr="00464EFE" w:rsidRDefault="009D63B4" w:rsidP="00F443BB">
            <w:pPr>
              <w:rPr>
                <w:rFonts w:ascii="Arial" w:hAnsi="Arial" w:cs="Arial"/>
                <w:b/>
              </w:rPr>
            </w:pPr>
            <w:r w:rsidRPr="00464EFE">
              <w:rPr>
                <w:rFonts w:ascii="Arial" w:hAnsi="Arial" w:cs="Arial"/>
                <w:b/>
              </w:rPr>
              <w:t>How has ‘due regard’ been given to any negative impacts that have been identified?</w:t>
            </w:r>
          </w:p>
        </w:tc>
      </w:tr>
      <w:tr w:rsidR="009D63B4" w:rsidRPr="00464EFE" w:rsidTr="00464EFE">
        <w:tc>
          <w:tcPr>
            <w:tcW w:w="9351" w:type="dxa"/>
          </w:tcPr>
          <w:p w:rsidR="009D63B4" w:rsidRPr="00464EFE" w:rsidRDefault="00205B4A" w:rsidP="00F443BB">
            <w:pPr>
              <w:rPr>
                <w:rFonts w:ascii="Arial" w:hAnsi="Arial" w:cs="Arial"/>
              </w:rPr>
            </w:pPr>
            <w:r>
              <w:rPr>
                <w:rFonts w:ascii="Arial" w:hAnsi="Arial" w:cs="Arial"/>
              </w:rPr>
              <w:t xml:space="preserve">Negative impacts as described above are mitigated through minimising the impact on services users by signposting </w:t>
            </w:r>
            <w:r w:rsidR="00B07045" w:rsidRPr="38B641A1">
              <w:rPr>
                <w:rFonts w:ascii="Arial" w:eastAsia="Times New Roman" w:hAnsi="Arial" w:cs="Arial"/>
                <w:color w:val="000000" w:themeColor="text1"/>
                <w:lang w:eastAsia="en-GB"/>
              </w:rPr>
              <w:t>to local advocacy services, carers groups</w:t>
            </w:r>
            <w:r w:rsidR="00B07045">
              <w:rPr>
                <w:rFonts w:ascii="Arial" w:eastAsia="Times New Roman" w:hAnsi="Arial" w:cs="Arial"/>
                <w:color w:val="000000" w:themeColor="text1"/>
                <w:lang w:eastAsia="en-GB"/>
              </w:rPr>
              <w:t>, local MH forums</w:t>
            </w:r>
            <w:r w:rsidR="00B07045" w:rsidRPr="38B641A1">
              <w:rPr>
                <w:rFonts w:ascii="Arial" w:eastAsia="Times New Roman" w:hAnsi="Arial" w:cs="Arial"/>
                <w:color w:val="000000" w:themeColor="text1"/>
                <w:lang w:eastAsia="en-GB"/>
              </w:rPr>
              <w:t xml:space="preserve"> and national mental health organisations where available and appropriate.</w:t>
            </w:r>
            <w:r w:rsidR="00C77D76">
              <w:rPr>
                <w:rFonts w:ascii="Arial" w:hAnsi="Arial" w:cs="Arial"/>
              </w:rPr>
              <w:t xml:space="preserve"> However, the need to retain mental health services that support not only existing service users but those impacted by COVID and the road to recovery should be considered.</w:t>
            </w:r>
          </w:p>
          <w:p w:rsidR="009D63B4" w:rsidRPr="00464EFE" w:rsidRDefault="009D63B4" w:rsidP="00F443BB">
            <w:pPr>
              <w:rPr>
                <w:rFonts w:ascii="Arial" w:hAnsi="Arial" w:cs="Arial"/>
              </w:rPr>
            </w:pPr>
          </w:p>
        </w:tc>
      </w:tr>
    </w:tbl>
    <w:p w:rsidR="009D63B4" w:rsidRPr="00675C29" w:rsidRDefault="009D63B4" w:rsidP="009D63B4">
      <w:pPr>
        <w:rPr>
          <w:rFonts w:ascii="Arial" w:hAnsi="Arial" w:cs="Arial"/>
        </w:rPr>
      </w:pPr>
    </w:p>
    <w:p w:rsidR="00C158B2" w:rsidRPr="00675C29" w:rsidRDefault="00C158B2" w:rsidP="00B62FC1">
      <w:pPr>
        <w:rPr>
          <w:rFonts w:ascii="Arial" w:hAnsi="Arial" w:cs="Arial"/>
        </w:rPr>
      </w:pPr>
    </w:p>
    <w:p w:rsidR="00B62FC1" w:rsidRPr="00675C29" w:rsidRDefault="00B62FC1" w:rsidP="00B62FC1">
      <w:pPr>
        <w:rPr>
          <w:rFonts w:ascii="Arial" w:hAnsi="Arial" w:cs="Arial"/>
          <w:b/>
        </w:rPr>
      </w:pPr>
      <w:r w:rsidRPr="00675C29">
        <w:rPr>
          <w:rFonts w:ascii="Arial" w:hAnsi="Arial" w:cs="Arial"/>
          <w:b/>
        </w:rPr>
        <w:t xml:space="preserve">Impact on </w:t>
      </w:r>
      <w:r w:rsidR="00DB5C72">
        <w:rPr>
          <w:rFonts w:ascii="Arial" w:hAnsi="Arial" w:cs="Arial"/>
          <w:b/>
        </w:rPr>
        <w:t>service deliverers (</w:t>
      </w:r>
      <w:r w:rsidR="0041644A">
        <w:rPr>
          <w:rFonts w:ascii="Arial" w:hAnsi="Arial" w:cs="Arial"/>
          <w:b/>
        </w:rPr>
        <w:t>including</w:t>
      </w:r>
      <w:r w:rsidR="00DB5C72">
        <w:rPr>
          <w:rFonts w:ascii="Arial" w:hAnsi="Arial" w:cs="Arial"/>
          <w:b/>
        </w:rPr>
        <w:t xml:space="preserve"> </w:t>
      </w:r>
      <w:r w:rsidRPr="00675C29">
        <w:rPr>
          <w:rFonts w:ascii="Arial" w:hAnsi="Arial" w:cs="Arial"/>
          <w:b/>
        </w:rPr>
        <w:t>employees</w:t>
      </w:r>
      <w:r w:rsidR="00DB5C72">
        <w:rPr>
          <w:rFonts w:ascii="Arial" w:hAnsi="Arial" w:cs="Arial"/>
          <w:b/>
        </w:rPr>
        <w:t>, volunteers etc</w:t>
      </w:r>
      <w:r w:rsidR="00CB79BC">
        <w:rPr>
          <w:rFonts w:ascii="Arial" w:hAnsi="Arial" w:cs="Arial"/>
          <w:b/>
        </w:rPr>
        <w:t>.</w:t>
      </w:r>
      <w:r w:rsidR="00DB5C72">
        <w:rPr>
          <w:rFonts w:ascii="Arial" w:hAnsi="Arial" w:cs="Arial"/>
          <w:b/>
        </w:rPr>
        <w:t>)</w:t>
      </w:r>
      <w:r w:rsidRPr="00675C29">
        <w:rPr>
          <w:rFonts w:ascii="Arial" w:hAnsi="Arial" w:cs="Arial"/>
          <w:b/>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418"/>
        <w:gridCol w:w="1701"/>
        <w:gridCol w:w="1276"/>
        <w:gridCol w:w="1559"/>
      </w:tblGrid>
      <w:tr w:rsidR="003F7B21" w:rsidRPr="00464EFE" w:rsidTr="00464EFE">
        <w:trPr>
          <w:cantSplit/>
          <w:tblHeader/>
        </w:trPr>
        <w:tc>
          <w:tcPr>
            <w:tcW w:w="3397" w:type="dxa"/>
          </w:tcPr>
          <w:p w:rsidR="003F7B21" w:rsidRPr="00464EFE" w:rsidRDefault="003F7B21" w:rsidP="006D5698">
            <w:pPr>
              <w:rPr>
                <w:rFonts w:ascii="Arial" w:hAnsi="Arial" w:cs="Arial"/>
                <w:b/>
              </w:rPr>
            </w:pPr>
          </w:p>
        </w:tc>
        <w:tc>
          <w:tcPr>
            <w:tcW w:w="1418" w:type="dxa"/>
          </w:tcPr>
          <w:p w:rsidR="003F7B21" w:rsidRPr="00464EFE" w:rsidRDefault="003F7B21" w:rsidP="006D5698">
            <w:pPr>
              <w:rPr>
                <w:rFonts w:ascii="Arial" w:hAnsi="Arial" w:cs="Arial"/>
                <w:b/>
              </w:rPr>
            </w:pPr>
            <w:r w:rsidRPr="00464EFE">
              <w:rPr>
                <w:rFonts w:ascii="Arial" w:hAnsi="Arial" w:cs="Arial"/>
                <w:b/>
              </w:rPr>
              <w:t>Negative</w:t>
            </w:r>
          </w:p>
        </w:tc>
        <w:tc>
          <w:tcPr>
            <w:tcW w:w="1701" w:type="dxa"/>
          </w:tcPr>
          <w:p w:rsidR="003F7B21" w:rsidRPr="00464EFE" w:rsidRDefault="003F7B21" w:rsidP="006D5698">
            <w:pPr>
              <w:rPr>
                <w:rFonts w:ascii="Arial" w:hAnsi="Arial" w:cs="Arial"/>
                <w:b/>
              </w:rPr>
            </w:pPr>
            <w:r w:rsidRPr="00464EFE">
              <w:rPr>
                <w:rFonts w:ascii="Arial" w:hAnsi="Arial" w:cs="Arial"/>
                <w:b/>
              </w:rPr>
              <w:t>No impact</w:t>
            </w:r>
          </w:p>
        </w:tc>
        <w:tc>
          <w:tcPr>
            <w:tcW w:w="1276" w:type="dxa"/>
          </w:tcPr>
          <w:p w:rsidR="003F7B21" w:rsidRPr="00464EFE" w:rsidRDefault="003F7B21" w:rsidP="006D5698">
            <w:pPr>
              <w:rPr>
                <w:rFonts w:ascii="Arial" w:hAnsi="Arial" w:cs="Arial"/>
                <w:b/>
              </w:rPr>
            </w:pPr>
            <w:r w:rsidRPr="00464EFE">
              <w:rPr>
                <w:rFonts w:ascii="Arial" w:hAnsi="Arial" w:cs="Arial"/>
                <w:b/>
              </w:rPr>
              <w:t>Positive</w:t>
            </w:r>
          </w:p>
        </w:tc>
        <w:tc>
          <w:tcPr>
            <w:tcW w:w="1559" w:type="dxa"/>
          </w:tcPr>
          <w:p w:rsidR="003F7B21" w:rsidRPr="00464EFE" w:rsidRDefault="003F7B21" w:rsidP="006D5698">
            <w:pPr>
              <w:rPr>
                <w:rFonts w:ascii="Arial" w:hAnsi="Arial" w:cs="Arial"/>
                <w:b/>
              </w:rPr>
            </w:pPr>
            <w:r w:rsidRPr="00464EFE">
              <w:rPr>
                <w:rFonts w:ascii="Arial" w:hAnsi="Arial" w:cs="Arial"/>
                <w:b/>
              </w:rPr>
              <w:t>Don’t know</w:t>
            </w:r>
          </w:p>
        </w:tc>
      </w:tr>
      <w:tr w:rsidR="003F7B21" w:rsidRPr="00464EFE" w:rsidTr="00464EFE">
        <w:tc>
          <w:tcPr>
            <w:tcW w:w="3397" w:type="dxa"/>
          </w:tcPr>
          <w:p w:rsidR="003F7B21" w:rsidRPr="00464EFE" w:rsidRDefault="003F7B21" w:rsidP="006D5698">
            <w:pPr>
              <w:rPr>
                <w:rFonts w:ascii="Arial" w:hAnsi="Arial" w:cs="Arial"/>
                <w:b/>
              </w:rPr>
            </w:pPr>
            <w:r w:rsidRPr="00464EFE">
              <w:rPr>
                <w:rFonts w:ascii="Arial" w:hAnsi="Arial" w:cs="Arial"/>
                <w:b/>
              </w:rPr>
              <w:t>Protected characteristics:</w:t>
            </w:r>
          </w:p>
        </w:tc>
        <w:tc>
          <w:tcPr>
            <w:tcW w:w="1418" w:type="dxa"/>
          </w:tcPr>
          <w:p w:rsidR="003F7B21" w:rsidRPr="00464EFE" w:rsidRDefault="003F7B21" w:rsidP="006D5698">
            <w:pPr>
              <w:rPr>
                <w:rFonts w:ascii="Arial" w:hAnsi="Arial" w:cs="Arial"/>
              </w:rPr>
            </w:pPr>
          </w:p>
        </w:tc>
        <w:tc>
          <w:tcPr>
            <w:tcW w:w="1701" w:type="dxa"/>
          </w:tcPr>
          <w:p w:rsidR="003F7B21" w:rsidRPr="00464EFE" w:rsidRDefault="003F7B21" w:rsidP="006D5698">
            <w:pPr>
              <w:rPr>
                <w:rFonts w:ascii="Arial" w:hAnsi="Arial" w:cs="Arial"/>
              </w:rPr>
            </w:pP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Age</w:t>
            </w:r>
          </w:p>
        </w:tc>
        <w:tc>
          <w:tcPr>
            <w:tcW w:w="1418" w:type="dxa"/>
          </w:tcPr>
          <w:p w:rsidR="003F7B21" w:rsidRPr="00464EFE" w:rsidRDefault="002A0262" w:rsidP="006D5698">
            <w:pPr>
              <w:rPr>
                <w:rFonts w:ascii="Arial" w:hAnsi="Arial" w:cs="Arial"/>
              </w:rPr>
            </w:pPr>
            <w:r>
              <w:rPr>
                <w:rFonts w:ascii="Arial" w:hAnsi="Arial" w:cs="Arial"/>
              </w:rPr>
              <w:t>x</w:t>
            </w:r>
          </w:p>
        </w:tc>
        <w:tc>
          <w:tcPr>
            <w:tcW w:w="1701" w:type="dxa"/>
          </w:tcPr>
          <w:p w:rsidR="003F7B21" w:rsidRPr="00464EFE" w:rsidRDefault="003F7B21" w:rsidP="006D5698">
            <w:pPr>
              <w:rPr>
                <w:rFonts w:ascii="Arial" w:hAnsi="Arial" w:cs="Arial"/>
              </w:rPr>
            </w:pP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Disability</w:t>
            </w:r>
          </w:p>
        </w:tc>
        <w:tc>
          <w:tcPr>
            <w:tcW w:w="1418" w:type="dxa"/>
          </w:tcPr>
          <w:p w:rsidR="003F7B21" w:rsidRPr="00464EFE" w:rsidRDefault="003F7B21" w:rsidP="006D5698">
            <w:pPr>
              <w:rPr>
                <w:rFonts w:ascii="Arial" w:hAnsi="Arial" w:cs="Arial"/>
              </w:rPr>
            </w:pPr>
          </w:p>
        </w:tc>
        <w:tc>
          <w:tcPr>
            <w:tcW w:w="1701" w:type="dxa"/>
          </w:tcPr>
          <w:p w:rsidR="003F7B21" w:rsidRPr="00464EFE" w:rsidRDefault="00837587"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Ethnicity</w:t>
            </w:r>
          </w:p>
        </w:tc>
        <w:tc>
          <w:tcPr>
            <w:tcW w:w="1418" w:type="dxa"/>
          </w:tcPr>
          <w:p w:rsidR="003F7B21" w:rsidRPr="00464EFE" w:rsidRDefault="003F7B21" w:rsidP="006D5698">
            <w:pPr>
              <w:rPr>
                <w:rFonts w:ascii="Arial" w:hAnsi="Arial" w:cs="Arial"/>
              </w:rPr>
            </w:pPr>
          </w:p>
        </w:tc>
        <w:tc>
          <w:tcPr>
            <w:tcW w:w="1701" w:type="dxa"/>
          </w:tcPr>
          <w:p w:rsidR="003F7B21" w:rsidRPr="00464EFE" w:rsidRDefault="002A0262"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Sex</w:t>
            </w:r>
          </w:p>
        </w:tc>
        <w:tc>
          <w:tcPr>
            <w:tcW w:w="1418" w:type="dxa"/>
          </w:tcPr>
          <w:p w:rsidR="003F7B21" w:rsidRPr="00464EFE" w:rsidRDefault="00837587" w:rsidP="006D5698">
            <w:pPr>
              <w:rPr>
                <w:rFonts w:ascii="Arial" w:hAnsi="Arial" w:cs="Arial"/>
              </w:rPr>
            </w:pPr>
            <w:r>
              <w:rPr>
                <w:rFonts w:ascii="Arial" w:hAnsi="Arial" w:cs="Arial"/>
              </w:rPr>
              <w:t>x</w:t>
            </w:r>
          </w:p>
        </w:tc>
        <w:tc>
          <w:tcPr>
            <w:tcW w:w="1701" w:type="dxa"/>
          </w:tcPr>
          <w:p w:rsidR="003F7B21" w:rsidRPr="00464EFE" w:rsidRDefault="003F7B21" w:rsidP="006D5698">
            <w:pPr>
              <w:rPr>
                <w:rFonts w:ascii="Arial" w:hAnsi="Arial" w:cs="Arial"/>
              </w:rPr>
            </w:pP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lastRenderedPageBreak/>
              <w:t>Gender reassignment</w:t>
            </w:r>
          </w:p>
        </w:tc>
        <w:tc>
          <w:tcPr>
            <w:tcW w:w="1418" w:type="dxa"/>
          </w:tcPr>
          <w:p w:rsidR="003F7B21" w:rsidRPr="00464EFE" w:rsidRDefault="003F7B21" w:rsidP="006D5698">
            <w:pPr>
              <w:rPr>
                <w:rFonts w:ascii="Arial" w:hAnsi="Arial" w:cs="Arial"/>
              </w:rPr>
            </w:pPr>
          </w:p>
        </w:tc>
        <w:tc>
          <w:tcPr>
            <w:tcW w:w="1701" w:type="dxa"/>
          </w:tcPr>
          <w:p w:rsidR="003F7B21" w:rsidRPr="00464EFE" w:rsidRDefault="00F83952"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Marriage and Civil Partnership</w:t>
            </w:r>
          </w:p>
        </w:tc>
        <w:tc>
          <w:tcPr>
            <w:tcW w:w="1418" w:type="dxa"/>
          </w:tcPr>
          <w:p w:rsidR="003F7B21" w:rsidRPr="00464EFE" w:rsidRDefault="003F7B21" w:rsidP="006D5698">
            <w:pPr>
              <w:rPr>
                <w:rFonts w:ascii="Arial" w:hAnsi="Arial" w:cs="Arial"/>
              </w:rPr>
            </w:pPr>
          </w:p>
        </w:tc>
        <w:tc>
          <w:tcPr>
            <w:tcW w:w="1701" w:type="dxa"/>
          </w:tcPr>
          <w:p w:rsidR="003F7B21" w:rsidRPr="00464EFE" w:rsidRDefault="00F83952"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Pregnancy and Maternity</w:t>
            </w:r>
          </w:p>
        </w:tc>
        <w:tc>
          <w:tcPr>
            <w:tcW w:w="1418" w:type="dxa"/>
          </w:tcPr>
          <w:p w:rsidR="003F7B21" w:rsidRPr="00464EFE" w:rsidRDefault="003F7B21" w:rsidP="006D5698">
            <w:pPr>
              <w:rPr>
                <w:rFonts w:ascii="Arial" w:hAnsi="Arial" w:cs="Arial"/>
              </w:rPr>
            </w:pPr>
          </w:p>
        </w:tc>
        <w:tc>
          <w:tcPr>
            <w:tcW w:w="1701" w:type="dxa"/>
          </w:tcPr>
          <w:p w:rsidR="003F7B21" w:rsidRPr="00464EFE" w:rsidRDefault="00F83952"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Religion</w:t>
            </w:r>
          </w:p>
        </w:tc>
        <w:tc>
          <w:tcPr>
            <w:tcW w:w="1418" w:type="dxa"/>
          </w:tcPr>
          <w:p w:rsidR="003F7B21" w:rsidRPr="00464EFE" w:rsidRDefault="003F7B21" w:rsidP="006D5698">
            <w:pPr>
              <w:rPr>
                <w:rFonts w:ascii="Arial" w:hAnsi="Arial" w:cs="Arial"/>
              </w:rPr>
            </w:pPr>
          </w:p>
        </w:tc>
        <w:tc>
          <w:tcPr>
            <w:tcW w:w="1701" w:type="dxa"/>
          </w:tcPr>
          <w:p w:rsidR="003F7B21" w:rsidRPr="00464EFE" w:rsidRDefault="00F83952"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Sexual Orientation</w:t>
            </w:r>
          </w:p>
        </w:tc>
        <w:tc>
          <w:tcPr>
            <w:tcW w:w="1418" w:type="dxa"/>
          </w:tcPr>
          <w:p w:rsidR="003F7B21" w:rsidRPr="00464EFE" w:rsidRDefault="003F7B21" w:rsidP="006D5698">
            <w:pPr>
              <w:rPr>
                <w:rFonts w:ascii="Arial" w:hAnsi="Arial" w:cs="Arial"/>
              </w:rPr>
            </w:pPr>
          </w:p>
        </w:tc>
        <w:tc>
          <w:tcPr>
            <w:tcW w:w="1701" w:type="dxa"/>
          </w:tcPr>
          <w:p w:rsidR="003F7B21" w:rsidRPr="00464EFE" w:rsidRDefault="00F83952"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b/>
              </w:rPr>
            </w:pPr>
            <w:r w:rsidRPr="00464EFE">
              <w:rPr>
                <w:rFonts w:ascii="Arial" w:hAnsi="Arial" w:cs="Arial"/>
                <w:b/>
              </w:rPr>
              <w:t>Fairer Scotland Duty:</w:t>
            </w:r>
          </w:p>
        </w:tc>
        <w:tc>
          <w:tcPr>
            <w:tcW w:w="1418" w:type="dxa"/>
          </w:tcPr>
          <w:p w:rsidR="003F7B21" w:rsidRPr="00464EFE" w:rsidRDefault="003F7B21" w:rsidP="006D5698">
            <w:pPr>
              <w:rPr>
                <w:rFonts w:ascii="Arial" w:hAnsi="Arial" w:cs="Arial"/>
              </w:rPr>
            </w:pPr>
          </w:p>
        </w:tc>
        <w:tc>
          <w:tcPr>
            <w:tcW w:w="1701" w:type="dxa"/>
          </w:tcPr>
          <w:p w:rsidR="003F7B21" w:rsidRPr="00464EFE" w:rsidRDefault="003F7B21" w:rsidP="006D5698">
            <w:pPr>
              <w:rPr>
                <w:rFonts w:ascii="Arial" w:hAnsi="Arial" w:cs="Arial"/>
              </w:rPr>
            </w:pP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Mainland rural population</w:t>
            </w:r>
          </w:p>
        </w:tc>
        <w:tc>
          <w:tcPr>
            <w:tcW w:w="1418" w:type="dxa"/>
          </w:tcPr>
          <w:p w:rsidR="003F7B21" w:rsidRPr="00464EFE" w:rsidRDefault="003F7B21" w:rsidP="006D5698">
            <w:pPr>
              <w:rPr>
                <w:rFonts w:ascii="Arial" w:hAnsi="Arial" w:cs="Arial"/>
              </w:rPr>
            </w:pPr>
          </w:p>
        </w:tc>
        <w:tc>
          <w:tcPr>
            <w:tcW w:w="1701" w:type="dxa"/>
          </w:tcPr>
          <w:p w:rsidR="003F7B21" w:rsidRPr="00464EFE" w:rsidRDefault="00395F40"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Island populations</w:t>
            </w:r>
          </w:p>
        </w:tc>
        <w:tc>
          <w:tcPr>
            <w:tcW w:w="1418" w:type="dxa"/>
          </w:tcPr>
          <w:p w:rsidR="003F7B21" w:rsidRPr="00464EFE" w:rsidRDefault="003F7B21" w:rsidP="006D5698">
            <w:pPr>
              <w:rPr>
                <w:rFonts w:ascii="Arial" w:hAnsi="Arial" w:cs="Arial"/>
              </w:rPr>
            </w:pPr>
          </w:p>
        </w:tc>
        <w:tc>
          <w:tcPr>
            <w:tcW w:w="1701" w:type="dxa"/>
          </w:tcPr>
          <w:p w:rsidR="003F7B21" w:rsidRPr="00464EFE" w:rsidRDefault="00395F40"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 xml:space="preserve">Low income </w:t>
            </w:r>
          </w:p>
        </w:tc>
        <w:tc>
          <w:tcPr>
            <w:tcW w:w="1418" w:type="dxa"/>
          </w:tcPr>
          <w:p w:rsidR="003F7B21" w:rsidRPr="00464EFE" w:rsidRDefault="00837587" w:rsidP="006D5698">
            <w:pPr>
              <w:rPr>
                <w:rFonts w:ascii="Arial" w:hAnsi="Arial" w:cs="Arial"/>
              </w:rPr>
            </w:pPr>
            <w:r>
              <w:rPr>
                <w:rFonts w:ascii="Arial" w:hAnsi="Arial" w:cs="Arial"/>
              </w:rPr>
              <w:t>x</w:t>
            </w:r>
          </w:p>
        </w:tc>
        <w:tc>
          <w:tcPr>
            <w:tcW w:w="1701" w:type="dxa"/>
          </w:tcPr>
          <w:p w:rsidR="003F7B21" w:rsidRPr="00464EFE" w:rsidRDefault="003F7B21" w:rsidP="006D5698">
            <w:pPr>
              <w:rPr>
                <w:rFonts w:ascii="Arial" w:hAnsi="Arial" w:cs="Arial"/>
              </w:rPr>
            </w:pP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Low wealth</w:t>
            </w:r>
          </w:p>
        </w:tc>
        <w:tc>
          <w:tcPr>
            <w:tcW w:w="1418" w:type="dxa"/>
          </w:tcPr>
          <w:p w:rsidR="003F7B21" w:rsidRPr="00464EFE" w:rsidRDefault="00837587" w:rsidP="006D5698">
            <w:pPr>
              <w:rPr>
                <w:rFonts w:ascii="Arial" w:hAnsi="Arial" w:cs="Arial"/>
              </w:rPr>
            </w:pPr>
            <w:r>
              <w:rPr>
                <w:rFonts w:ascii="Arial" w:hAnsi="Arial" w:cs="Arial"/>
              </w:rPr>
              <w:t>x</w:t>
            </w:r>
          </w:p>
        </w:tc>
        <w:tc>
          <w:tcPr>
            <w:tcW w:w="1701" w:type="dxa"/>
          </w:tcPr>
          <w:p w:rsidR="003F7B21" w:rsidRPr="00464EFE" w:rsidRDefault="003F7B21" w:rsidP="006D5698">
            <w:pPr>
              <w:rPr>
                <w:rFonts w:ascii="Arial" w:hAnsi="Arial" w:cs="Arial"/>
              </w:rPr>
            </w:pP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Material deprivation</w:t>
            </w:r>
          </w:p>
        </w:tc>
        <w:tc>
          <w:tcPr>
            <w:tcW w:w="1418" w:type="dxa"/>
          </w:tcPr>
          <w:p w:rsidR="003F7B21" w:rsidRPr="00464EFE" w:rsidRDefault="003F7B21" w:rsidP="006D5698">
            <w:pPr>
              <w:rPr>
                <w:rFonts w:ascii="Arial" w:hAnsi="Arial" w:cs="Arial"/>
              </w:rPr>
            </w:pPr>
          </w:p>
        </w:tc>
        <w:tc>
          <w:tcPr>
            <w:tcW w:w="1701" w:type="dxa"/>
          </w:tcPr>
          <w:p w:rsidR="003F7B21" w:rsidRPr="00464EFE" w:rsidRDefault="00395F40"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Area deprivation</w:t>
            </w:r>
          </w:p>
        </w:tc>
        <w:tc>
          <w:tcPr>
            <w:tcW w:w="1418" w:type="dxa"/>
          </w:tcPr>
          <w:p w:rsidR="003F7B21" w:rsidRPr="00464EFE" w:rsidRDefault="003F7B21" w:rsidP="006D5698">
            <w:pPr>
              <w:rPr>
                <w:rFonts w:ascii="Arial" w:hAnsi="Arial" w:cs="Arial"/>
              </w:rPr>
            </w:pPr>
          </w:p>
        </w:tc>
        <w:tc>
          <w:tcPr>
            <w:tcW w:w="1701" w:type="dxa"/>
          </w:tcPr>
          <w:p w:rsidR="003F7B21" w:rsidRPr="00464EFE" w:rsidRDefault="00395F40"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Socio-economic background</w:t>
            </w:r>
          </w:p>
        </w:tc>
        <w:tc>
          <w:tcPr>
            <w:tcW w:w="1418" w:type="dxa"/>
          </w:tcPr>
          <w:p w:rsidR="003F7B21" w:rsidRPr="00464EFE" w:rsidRDefault="003F7B21" w:rsidP="006D5698">
            <w:pPr>
              <w:rPr>
                <w:rFonts w:ascii="Arial" w:hAnsi="Arial" w:cs="Arial"/>
              </w:rPr>
            </w:pPr>
          </w:p>
        </w:tc>
        <w:tc>
          <w:tcPr>
            <w:tcW w:w="1701" w:type="dxa"/>
          </w:tcPr>
          <w:p w:rsidR="003F7B21" w:rsidRPr="00464EFE" w:rsidRDefault="00395F40"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93189F">
            <w:pPr>
              <w:rPr>
                <w:rFonts w:ascii="Arial" w:hAnsi="Arial" w:cs="Arial"/>
              </w:rPr>
            </w:pPr>
            <w:r w:rsidRPr="00464EFE">
              <w:rPr>
                <w:rFonts w:ascii="Arial" w:hAnsi="Arial" w:cs="Arial"/>
              </w:rPr>
              <w:t>Communities of place</w:t>
            </w:r>
          </w:p>
        </w:tc>
        <w:tc>
          <w:tcPr>
            <w:tcW w:w="1418" w:type="dxa"/>
          </w:tcPr>
          <w:p w:rsidR="003F7B21" w:rsidRPr="00464EFE" w:rsidRDefault="003F7B21" w:rsidP="006D5698">
            <w:pPr>
              <w:rPr>
                <w:rFonts w:ascii="Arial" w:hAnsi="Arial" w:cs="Arial"/>
              </w:rPr>
            </w:pPr>
          </w:p>
        </w:tc>
        <w:tc>
          <w:tcPr>
            <w:tcW w:w="1701" w:type="dxa"/>
          </w:tcPr>
          <w:p w:rsidR="003F7B21" w:rsidRPr="00464EFE" w:rsidRDefault="00395F40"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93189F">
            <w:pPr>
              <w:rPr>
                <w:rFonts w:ascii="Arial" w:hAnsi="Arial" w:cs="Arial"/>
              </w:rPr>
            </w:pPr>
            <w:r w:rsidRPr="00464EFE">
              <w:rPr>
                <w:rFonts w:ascii="Arial" w:hAnsi="Arial" w:cs="Arial"/>
              </w:rPr>
              <w:t>Communities of interest</w:t>
            </w:r>
          </w:p>
        </w:tc>
        <w:tc>
          <w:tcPr>
            <w:tcW w:w="1418" w:type="dxa"/>
          </w:tcPr>
          <w:p w:rsidR="003F7B21" w:rsidRPr="00464EFE" w:rsidRDefault="003F7B21" w:rsidP="006D5698">
            <w:pPr>
              <w:rPr>
                <w:rFonts w:ascii="Arial" w:hAnsi="Arial" w:cs="Arial"/>
              </w:rPr>
            </w:pPr>
          </w:p>
        </w:tc>
        <w:tc>
          <w:tcPr>
            <w:tcW w:w="1701" w:type="dxa"/>
          </w:tcPr>
          <w:p w:rsidR="003F7B21" w:rsidRPr="00464EFE" w:rsidRDefault="00395F40"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bl>
    <w:p w:rsidR="00B62FC1" w:rsidRDefault="00B62FC1" w:rsidP="00B62FC1">
      <w:pPr>
        <w:rPr>
          <w:rFonts w:ascii="Arial" w:hAnsi="Arial" w:cs="Arial"/>
        </w:rPr>
      </w:pPr>
    </w:p>
    <w:p w:rsidR="009D63B4" w:rsidRDefault="009D63B4" w:rsidP="009D63B4">
      <w:pPr>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D63B4" w:rsidRPr="00464EFE" w:rsidTr="00464EFE">
        <w:tc>
          <w:tcPr>
            <w:tcW w:w="9351" w:type="dxa"/>
          </w:tcPr>
          <w:p w:rsidR="009D63B4" w:rsidRPr="00464EFE" w:rsidRDefault="009D63B4" w:rsidP="009D63B4">
            <w:pPr>
              <w:rPr>
                <w:rFonts w:ascii="Arial" w:hAnsi="Arial" w:cs="Arial"/>
                <w:b/>
                <w:highlight w:val="yellow"/>
              </w:rPr>
            </w:pPr>
            <w:r w:rsidRPr="00464EFE">
              <w:rPr>
                <w:rFonts w:ascii="Arial" w:hAnsi="Arial" w:cs="Arial"/>
                <w:b/>
              </w:rPr>
              <w:t>If you have identified any negative impacts on service deliverers, give more detail here:</w:t>
            </w:r>
          </w:p>
        </w:tc>
      </w:tr>
      <w:tr w:rsidR="009D63B4" w:rsidRPr="00464EFE" w:rsidTr="002A0262">
        <w:trPr>
          <w:trHeight w:val="4049"/>
        </w:trPr>
        <w:tc>
          <w:tcPr>
            <w:tcW w:w="9351" w:type="dxa"/>
          </w:tcPr>
          <w:p w:rsidR="00C5766A" w:rsidRDefault="00C5766A" w:rsidP="00837587">
            <w:pPr>
              <w:rPr>
                <w:rFonts w:ascii="Arial" w:hAnsi="Arial" w:cs="Arial"/>
              </w:rPr>
            </w:pPr>
          </w:p>
          <w:p w:rsidR="009D63B4" w:rsidRPr="004C7BC0" w:rsidRDefault="004C7BC0" w:rsidP="00837587">
            <w:pPr>
              <w:rPr>
                <w:rFonts w:ascii="Arial" w:hAnsi="Arial" w:cs="Arial"/>
              </w:rPr>
            </w:pPr>
            <w:r w:rsidRPr="004C7BC0">
              <w:rPr>
                <w:rFonts w:ascii="Arial" w:hAnsi="Arial" w:cs="Arial"/>
              </w:rPr>
              <w:t>The majority of</w:t>
            </w:r>
            <w:r w:rsidR="00837587" w:rsidRPr="004C7BC0">
              <w:rPr>
                <w:rFonts w:ascii="Arial" w:hAnsi="Arial" w:cs="Arial"/>
              </w:rPr>
              <w:t xml:space="preserve"> funding provided by Argyll and Bute HSCP is used for the salaries of 2 part time, female members of staff</w:t>
            </w:r>
            <w:r w:rsidRPr="004C7BC0">
              <w:rPr>
                <w:rFonts w:ascii="Arial" w:hAnsi="Arial" w:cs="Arial"/>
              </w:rPr>
              <w:t>:</w:t>
            </w:r>
          </w:p>
          <w:p w:rsidR="00837587" w:rsidRPr="004C7BC0" w:rsidRDefault="00837587" w:rsidP="00837587">
            <w:pPr>
              <w:rPr>
                <w:rFonts w:ascii="Arial" w:hAnsi="Arial" w:cs="Arial"/>
              </w:rPr>
            </w:pPr>
            <w:r w:rsidRPr="004C7BC0">
              <w:rPr>
                <w:rFonts w:ascii="Arial" w:hAnsi="Arial" w:cs="Arial"/>
              </w:rPr>
              <w:t xml:space="preserve">Staff Member 1 – covers Helensburgh &amp; Lomond, Bute &amp; Cowal – </w:t>
            </w:r>
            <w:r w:rsidR="002A0262" w:rsidRPr="004C7BC0">
              <w:rPr>
                <w:rFonts w:ascii="Arial" w:hAnsi="Arial" w:cs="Arial"/>
              </w:rPr>
              <w:t>16</w:t>
            </w:r>
            <w:r w:rsidRPr="004C7BC0">
              <w:rPr>
                <w:rFonts w:ascii="Arial" w:hAnsi="Arial" w:cs="Arial"/>
              </w:rPr>
              <w:t>hours p/w</w:t>
            </w:r>
          </w:p>
          <w:p w:rsidR="00837587" w:rsidRPr="004C7BC0" w:rsidRDefault="00837587" w:rsidP="00837587">
            <w:pPr>
              <w:rPr>
                <w:rFonts w:ascii="Arial" w:hAnsi="Arial" w:cs="Arial"/>
              </w:rPr>
            </w:pPr>
            <w:r w:rsidRPr="004C7BC0">
              <w:rPr>
                <w:rFonts w:ascii="Arial" w:hAnsi="Arial" w:cs="Arial"/>
              </w:rPr>
              <w:t xml:space="preserve">Staff Member 2 – covers MAKI and OLI – </w:t>
            </w:r>
            <w:r w:rsidR="002A0262" w:rsidRPr="004C7BC0">
              <w:rPr>
                <w:rFonts w:ascii="Arial" w:hAnsi="Arial" w:cs="Arial"/>
              </w:rPr>
              <w:t xml:space="preserve">16 </w:t>
            </w:r>
            <w:r w:rsidRPr="004C7BC0">
              <w:rPr>
                <w:rFonts w:ascii="Arial" w:hAnsi="Arial" w:cs="Arial"/>
              </w:rPr>
              <w:t>hours p/w</w:t>
            </w:r>
          </w:p>
          <w:p w:rsidR="00A343FF" w:rsidRDefault="00A343FF" w:rsidP="00837587">
            <w:pPr>
              <w:rPr>
                <w:rFonts w:ascii="Arial" w:hAnsi="Arial" w:cs="Arial"/>
                <w:highlight w:val="yellow"/>
              </w:rPr>
            </w:pPr>
          </w:p>
          <w:p w:rsidR="00A343FF" w:rsidRDefault="00A343FF" w:rsidP="00A343FF">
            <w:pPr>
              <w:rPr>
                <w:rFonts w:ascii="Arial" w:hAnsi="Arial" w:cs="Arial"/>
              </w:rPr>
            </w:pPr>
            <w:r w:rsidRPr="00544645">
              <w:rPr>
                <w:rFonts w:ascii="Arial" w:hAnsi="Arial" w:cs="Arial"/>
              </w:rPr>
              <w:t xml:space="preserve">Termination </w:t>
            </w:r>
            <w:r>
              <w:rPr>
                <w:rFonts w:ascii="Arial" w:hAnsi="Arial" w:cs="Arial"/>
              </w:rPr>
              <w:t>of the SLA</w:t>
            </w:r>
            <w:r w:rsidRPr="00544645">
              <w:rPr>
                <w:rFonts w:ascii="Arial" w:hAnsi="Arial" w:cs="Arial"/>
              </w:rPr>
              <w:t xml:space="preserve"> will result in </w:t>
            </w:r>
            <w:r>
              <w:rPr>
                <w:rFonts w:ascii="Arial" w:hAnsi="Arial" w:cs="Arial"/>
              </w:rPr>
              <w:t>the redundancy of 2 members of staff.</w:t>
            </w:r>
            <w:r w:rsidRPr="00544645">
              <w:rPr>
                <w:rFonts w:ascii="Arial" w:hAnsi="Arial" w:cs="Arial"/>
              </w:rPr>
              <w:t xml:space="preserve"> This will negatively affect the working population with increased unemployment rates, and based on the </w:t>
            </w:r>
            <w:r>
              <w:rPr>
                <w:rFonts w:ascii="Arial" w:hAnsi="Arial" w:cs="Arial"/>
              </w:rPr>
              <w:t xml:space="preserve">organisations </w:t>
            </w:r>
            <w:r w:rsidRPr="00544645">
              <w:rPr>
                <w:rFonts w:ascii="Arial" w:hAnsi="Arial" w:cs="Arial"/>
              </w:rPr>
              <w:t xml:space="preserve">staffing information </w:t>
            </w:r>
            <w:r>
              <w:rPr>
                <w:rFonts w:ascii="Arial" w:hAnsi="Arial" w:cs="Arial"/>
              </w:rPr>
              <w:t>submitted the staff m</w:t>
            </w:r>
            <w:r w:rsidR="00C5766A">
              <w:rPr>
                <w:rFonts w:ascii="Arial" w:hAnsi="Arial" w:cs="Arial"/>
              </w:rPr>
              <w:t>embers affected are both female and of the working age population.</w:t>
            </w:r>
          </w:p>
          <w:p w:rsidR="00A343FF" w:rsidRPr="00544645" w:rsidRDefault="00A343FF" w:rsidP="00A343FF">
            <w:pPr>
              <w:rPr>
                <w:rFonts w:ascii="Arial" w:hAnsi="Arial" w:cs="Arial"/>
              </w:rPr>
            </w:pPr>
          </w:p>
          <w:p w:rsidR="00A343FF" w:rsidRPr="00544645" w:rsidRDefault="009F098E" w:rsidP="00A343FF">
            <w:pPr>
              <w:rPr>
                <w:rFonts w:ascii="Arial" w:hAnsi="Arial" w:cs="Arial"/>
              </w:rPr>
            </w:pPr>
            <w:r>
              <w:rPr>
                <w:rFonts w:ascii="Arial" w:hAnsi="Arial" w:cs="Arial"/>
              </w:rPr>
              <w:t>The staff members affected are</w:t>
            </w:r>
            <w:r w:rsidR="00A343FF" w:rsidRPr="00544645">
              <w:rPr>
                <w:rFonts w:ascii="Arial" w:hAnsi="Arial" w:cs="Arial"/>
              </w:rPr>
              <w:t xml:space="preserve"> generally considered low income workers, with </w:t>
            </w:r>
            <w:r w:rsidR="004C7BC0">
              <w:rPr>
                <w:rFonts w:ascii="Arial" w:hAnsi="Arial" w:cs="Arial"/>
              </w:rPr>
              <w:t xml:space="preserve">an </w:t>
            </w:r>
            <w:r w:rsidR="00A343FF" w:rsidRPr="00544645">
              <w:rPr>
                <w:rFonts w:ascii="Arial" w:hAnsi="Arial" w:cs="Arial"/>
              </w:rPr>
              <w:t>hourly rate of £</w:t>
            </w:r>
            <w:r w:rsidR="002A0262">
              <w:rPr>
                <w:rFonts w:ascii="Arial" w:hAnsi="Arial" w:cs="Arial"/>
              </w:rPr>
              <w:t>11</w:t>
            </w:r>
            <w:r w:rsidR="00A343FF" w:rsidRPr="00544645">
              <w:rPr>
                <w:rFonts w:ascii="Arial" w:hAnsi="Arial" w:cs="Arial"/>
              </w:rPr>
              <w:t>.</w:t>
            </w:r>
            <w:r w:rsidR="002A0262">
              <w:rPr>
                <w:rFonts w:ascii="Arial" w:hAnsi="Arial" w:cs="Arial"/>
              </w:rPr>
              <w:t>36</w:t>
            </w:r>
            <w:r w:rsidR="00A343FF" w:rsidRPr="00544645">
              <w:rPr>
                <w:rFonts w:ascii="Arial" w:hAnsi="Arial" w:cs="Arial"/>
              </w:rPr>
              <w:t xml:space="preserve"> per hour (Full time Annual salary of approx. £</w:t>
            </w:r>
            <w:r w:rsidR="004C7BC0">
              <w:rPr>
                <w:rFonts w:ascii="Arial" w:hAnsi="Arial" w:cs="Arial"/>
              </w:rPr>
              <w:t>20</w:t>
            </w:r>
            <w:r w:rsidR="00A343FF" w:rsidRPr="00544645">
              <w:rPr>
                <w:rFonts w:ascii="Arial" w:hAnsi="Arial" w:cs="Arial"/>
              </w:rPr>
              <w:t xml:space="preserve">k based on an average </w:t>
            </w:r>
            <w:r w:rsidR="00A343FF">
              <w:rPr>
                <w:rFonts w:ascii="Arial" w:hAnsi="Arial" w:cs="Arial"/>
              </w:rPr>
              <w:t>35</w:t>
            </w:r>
            <w:r w:rsidR="00A343FF" w:rsidRPr="00544645">
              <w:rPr>
                <w:rFonts w:ascii="Arial" w:hAnsi="Arial" w:cs="Arial"/>
              </w:rPr>
              <w:t xml:space="preserve"> hours per week)</w:t>
            </w:r>
          </w:p>
          <w:p w:rsidR="00A343FF" w:rsidRDefault="00A343FF" w:rsidP="002A0262">
            <w:pPr>
              <w:rPr>
                <w:rFonts w:ascii="Arial" w:hAnsi="Arial" w:cs="Arial"/>
              </w:rPr>
            </w:pPr>
            <w:r w:rsidRPr="00544645">
              <w:rPr>
                <w:rFonts w:ascii="Arial" w:hAnsi="Arial" w:cs="Arial"/>
              </w:rPr>
              <w:t xml:space="preserve">With unemployment rates increasing as a result of the pandemic, and in particular significant redundancies </w:t>
            </w:r>
            <w:r>
              <w:rPr>
                <w:rFonts w:ascii="Arial" w:hAnsi="Arial" w:cs="Arial"/>
              </w:rPr>
              <w:t xml:space="preserve">in </w:t>
            </w:r>
            <w:r w:rsidRPr="00544645">
              <w:rPr>
                <w:rFonts w:ascii="Arial" w:hAnsi="Arial" w:cs="Arial"/>
              </w:rPr>
              <w:t xml:space="preserve">other low income jobs </w:t>
            </w:r>
            <w:r>
              <w:rPr>
                <w:rFonts w:ascii="Arial" w:hAnsi="Arial" w:cs="Arial"/>
              </w:rPr>
              <w:t xml:space="preserve">such as the hospitality industry, further redundancies </w:t>
            </w:r>
            <w:r>
              <w:rPr>
                <w:rFonts w:ascii="Arial" w:hAnsi="Arial" w:cs="Arial"/>
              </w:rPr>
              <w:lastRenderedPageBreak/>
              <w:t xml:space="preserve">will negatively affect the local community. </w:t>
            </w:r>
          </w:p>
          <w:p w:rsidR="005464A9" w:rsidRDefault="005464A9" w:rsidP="002A0262">
            <w:pPr>
              <w:rPr>
                <w:rFonts w:ascii="Arial" w:hAnsi="Arial" w:cs="Arial"/>
              </w:rPr>
            </w:pPr>
          </w:p>
          <w:p w:rsidR="005464A9" w:rsidRDefault="005464A9" w:rsidP="002A0262">
            <w:pPr>
              <w:rPr>
                <w:rFonts w:ascii="Arial" w:hAnsi="Arial" w:cs="Arial"/>
              </w:rPr>
            </w:pPr>
            <w:r>
              <w:rPr>
                <w:rFonts w:ascii="Arial" w:hAnsi="Arial" w:cs="Arial"/>
              </w:rPr>
              <w:t xml:space="preserve">Also worthy to note that these employees will have built up significant relationships with service users who may have </w:t>
            </w:r>
            <w:r w:rsidR="00F42EFE">
              <w:rPr>
                <w:rFonts w:ascii="Arial" w:hAnsi="Arial" w:cs="Arial"/>
              </w:rPr>
              <w:t>difficulties</w:t>
            </w:r>
            <w:r>
              <w:rPr>
                <w:rFonts w:ascii="Arial" w:hAnsi="Arial" w:cs="Arial"/>
              </w:rPr>
              <w:t xml:space="preserve"> with trust </w:t>
            </w:r>
            <w:r w:rsidR="00F42EFE">
              <w:rPr>
                <w:rFonts w:ascii="Arial" w:hAnsi="Arial" w:cs="Arial"/>
              </w:rPr>
              <w:t>etc.</w:t>
            </w:r>
            <w:r>
              <w:rPr>
                <w:rFonts w:ascii="Arial" w:hAnsi="Arial" w:cs="Arial"/>
              </w:rPr>
              <w:t xml:space="preserve"> and with forming new relationships that could prove detrimental to their mental health needs at what is already a difficult time due to the pandemic.</w:t>
            </w:r>
          </w:p>
          <w:p w:rsidR="00C72951" w:rsidRPr="00464EFE" w:rsidRDefault="00C72951" w:rsidP="002A0262">
            <w:pPr>
              <w:rPr>
                <w:rFonts w:ascii="Arial" w:hAnsi="Arial" w:cs="Arial"/>
                <w:highlight w:val="yellow"/>
              </w:rPr>
            </w:pPr>
          </w:p>
        </w:tc>
      </w:tr>
    </w:tbl>
    <w:p w:rsidR="009D63B4" w:rsidRDefault="009D63B4" w:rsidP="009D63B4">
      <w:pPr>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D63B4" w:rsidRPr="00464EFE" w:rsidTr="00464EFE">
        <w:trPr>
          <w:cantSplit/>
        </w:trPr>
        <w:tc>
          <w:tcPr>
            <w:tcW w:w="9351" w:type="dxa"/>
          </w:tcPr>
          <w:p w:rsidR="009D63B4" w:rsidRPr="00464EFE" w:rsidRDefault="009D63B4" w:rsidP="009D63B4">
            <w:pPr>
              <w:rPr>
                <w:rFonts w:ascii="Arial" w:hAnsi="Arial" w:cs="Arial"/>
                <w:b/>
              </w:rPr>
            </w:pPr>
            <w:r w:rsidRPr="00464EFE">
              <w:rPr>
                <w:rFonts w:ascii="Arial" w:hAnsi="Arial" w:cs="Arial"/>
                <w:b/>
              </w:rPr>
              <w:t>If any ‘don’t knows’ have been identified, when will impacts on these groups be clear?</w:t>
            </w:r>
          </w:p>
        </w:tc>
      </w:tr>
      <w:tr w:rsidR="009D63B4" w:rsidRPr="00464EFE" w:rsidTr="00464EFE">
        <w:trPr>
          <w:cantSplit/>
        </w:trPr>
        <w:tc>
          <w:tcPr>
            <w:tcW w:w="9351" w:type="dxa"/>
          </w:tcPr>
          <w:p w:rsidR="009D63B4" w:rsidRPr="00464EFE" w:rsidRDefault="00453911" w:rsidP="00453911">
            <w:pPr>
              <w:rPr>
                <w:rFonts w:ascii="Arial" w:hAnsi="Arial" w:cs="Arial"/>
              </w:rPr>
            </w:pPr>
            <w:r>
              <w:rPr>
                <w:rFonts w:ascii="Arial" w:hAnsi="Arial" w:cs="Arial"/>
              </w:rPr>
              <w:t>N/A</w:t>
            </w:r>
          </w:p>
        </w:tc>
      </w:tr>
    </w:tbl>
    <w:p w:rsidR="009D63B4" w:rsidRDefault="009D63B4" w:rsidP="009D63B4">
      <w:pPr>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D63B4" w:rsidRPr="00464EFE" w:rsidTr="00464EFE">
        <w:tc>
          <w:tcPr>
            <w:tcW w:w="9351" w:type="dxa"/>
          </w:tcPr>
          <w:p w:rsidR="009D63B4" w:rsidRPr="00464EFE" w:rsidRDefault="009D63B4" w:rsidP="00F443BB">
            <w:pPr>
              <w:rPr>
                <w:rFonts w:ascii="Arial" w:hAnsi="Arial" w:cs="Arial"/>
                <w:b/>
              </w:rPr>
            </w:pPr>
            <w:r w:rsidRPr="00464EFE">
              <w:rPr>
                <w:rFonts w:ascii="Arial" w:hAnsi="Arial" w:cs="Arial"/>
                <w:b/>
              </w:rPr>
              <w:t>How has ‘due regard’ been given to any negative impacts that have been identified?</w:t>
            </w:r>
          </w:p>
        </w:tc>
      </w:tr>
      <w:tr w:rsidR="009D63B4" w:rsidRPr="00464EFE" w:rsidTr="00464EFE">
        <w:tc>
          <w:tcPr>
            <w:tcW w:w="9351" w:type="dxa"/>
          </w:tcPr>
          <w:p w:rsidR="009D63B4" w:rsidRPr="00464EFE" w:rsidRDefault="00205B4A" w:rsidP="00F443BB">
            <w:pPr>
              <w:rPr>
                <w:rFonts w:ascii="Arial" w:hAnsi="Arial" w:cs="Arial"/>
              </w:rPr>
            </w:pPr>
            <w:r>
              <w:rPr>
                <w:rFonts w:ascii="Arial" w:hAnsi="Arial" w:cs="Arial"/>
              </w:rPr>
              <w:t>The impact in respect to inequalities of outcome cannot be entirely mitigated against</w:t>
            </w:r>
            <w:r w:rsidR="00965230">
              <w:rPr>
                <w:rFonts w:ascii="Arial" w:hAnsi="Arial" w:cs="Arial"/>
              </w:rPr>
              <w:t xml:space="preserve"> but as noted there will be continued contact with mainstream services to ensure signposting </w:t>
            </w:r>
            <w:r w:rsidR="00B07045" w:rsidRPr="38B641A1">
              <w:rPr>
                <w:rFonts w:ascii="Arial" w:eastAsia="Times New Roman" w:hAnsi="Arial" w:cs="Arial"/>
                <w:color w:val="000000" w:themeColor="text1"/>
                <w:lang w:eastAsia="en-GB"/>
              </w:rPr>
              <w:t>to local advocacy services, carers groups</w:t>
            </w:r>
            <w:r w:rsidR="00B07045">
              <w:rPr>
                <w:rFonts w:ascii="Arial" w:eastAsia="Times New Roman" w:hAnsi="Arial" w:cs="Arial"/>
                <w:color w:val="000000" w:themeColor="text1"/>
                <w:lang w:eastAsia="en-GB"/>
              </w:rPr>
              <w:t>, local MH forums</w:t>
            </w:r>
            <w:r w:rsidR="00B07045" w:rsidRPr="38B641A1">
              <w:rPr>
                <w:rFonts w:ascii="Arial" w:eastAsia="Times New Roman" w:hAnsi="Arial" w:cs="Arial"/>
                <w:color w:val="000000" w:themeColor="text1"/>
                <w:lang w:eastAsia="en-GB"/>
              </w:rPr>
              <w:t xml:space="preserve"> and national mental health organisations where available and appropriate.</w:t>
            </w:r>
            <w:r w:rsidR="00B07045">
              <w:rPr>
                <w:rFonts w:ascii="Arial" w:eastAsia="Times New Roman" w:hAnsi="Arial" w:cs="Arial"/>
                <w:color w:val="000000" w:themeColor="text1"/>
                <w:lang w:eastAsia="en-GB"/>
              </w:rPr>
              <w:t xml:space="preserve"> </w:t>
            </w:r>
            <w:bookmarkStart w:id="0" w:name="_GoBack"/>
            <w:bookmarkEnd w:id="0"/>
            <w:r w:rsidR="00965230">
              <w:rPr>
                <w:rFonts w:ascii="Arial" w:hAnsi="Arial" w:cs="Arial"/>
              </w:rPr>
              <w:t xml:space="preserve">Living Well is an Argyll &amp; Bute wide strategy and this will be monitored to ensure access to the public health information can be maintained. </w:t>
            </w:r>
            <w:r w:rsidR="00F91088">
              <w:rPr>
                <w:rFonts w:ascii="Arial" w:hAnsi="Arial" w:cs="Arial"/>
              </w:rPr>
              <w:t xml:space="preserve">Individuals will still have access to the range of services. </w:t>
            </w:r>
          </w:p>
          <w:p w:rsidR="009D63B4" w:rsidRPr="00464EFE" w:rsidRDefault="009D63B4" w:rsidP="00F443BB">
            <w:pPr>
              <w:rPr>
                <w:rFonts w:ascii="Arial" w:hAnsi="Arial" w:cs="Arial"/>
              </w:rPr>
            </w:pPr>
          </w:p>
        </w:tc>
      </w:tr>
    </w:tbl>
    <w:p w:rsidR="009D63B4" w:rsidRPr="00675C29" w:rsidRDefault="009D63B4" w:rsidP="009D63B4">
      <w:pPr>
        <w:rPr>
          <w:rFonts w:ascii="Arial" w:hAnsi="Arial" w:cs="Arial"/>
        </w:rPr>
      </w:pPr>
    </w:p>
    <w:p w:rsidR="009D63B4" w:rsidRDefault="009D63B4" w:rsidP="00B62FC1">
      <w:pPr>
        <w:rPr>
          <w:rFonts w:ascii="Arial" w:hAnsi="Arial" w:cs="Arial"/>
        </w:rPr>
      </w:pPr>
    </w:p>
    <w:p w:rsidR="00B62FC1" w:rsidRDefault="00B62FC1" w:rsidP="00B62FC1">
      <w:pPr>
        <w:jc w:val="center"/>
        <w:rPr>
          <w:rFonts w:ascii="Arial" w:hAnsi="Arial" w:cs="Arial"/>
          <w:b/>
          <w:color w:val="0070C0"/>
        </w:rPr>
      </w:pPr>
      <w:r w:rsidRPr="00B62FC1">
        <w:rPr>
          <w:rFonts w:ascii="Arial" w:hAnsi="Arial" w:cs="Arial"/>
          <w:b/>
          <w:color w:val="0070C0"/>
        </w:rPr>
        <w:t>Section 4: Interdependencies</w:t>
      </w:r>
    </w:p>
    <w:p w:rsidR="00CB79BC" w:rsidRDefault="00CB79BC" w:rsidP="00B62FC1">
      <w:pPr>
        <w:jc w:val="center"/>
        <w:rPr>
          <w:rFonts w:ascii="Arial" w:hAnsi="Arial" w:cs="Arial"/>
          <w:b/>
          <w:color w:val="0070C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394"/>
      </w:tblGrid>
      <w:tr w:rsidR="00B62FC1" w:rsidRPr="00464EFE" w:rsidTr="00464EFE">
        <w:tc>
          <w:tcPr>
            <w:tcW w:w="4957" w:type="dxa"/>
          </w:tcPr>
          <w:p w:rsidR="00B62FC1" w:rsidRPr="00464EFE" w:rsidRDefault="00B62FC1" w:rsidP="006D5698">
            <w:pPr>
              <w:rPr>
                <w:rFonts w:ascii="Arial" w:hAnsi="Arial" w:cs="Arial"/>
                <w:b/>
              </w:rPr>
            </w:pPr>
            <w:r w:rsidRPr="00464EFE">
              <w:rPr>
                <w:rFonts w:ascii="Arial" w:hAnsi="Arial" w:cs="Arial"/>
                <w:b/>
              </w:rPr>
              <w:t>Is this p</w:t>
            </w:r>
            <w:r w:rsidR="00D03F99" w:rsidRPr="00464EFE">
              <w:rPr>
                <w:rFonts w:ascii="Arial" w:hAnsi="Arial" w:cs="Arial"/>
                <w:b/>
              </w:rPr>
              <w:t xml:space="preserve">roposal </w:t>
            </w:r>
            <w:r w:rsidRPr="00464EFE">
              <w:rPr>
                <w:rFonts w:ascii="Arial" w:hAnsi="Arial" w:cs="Arial"/>
                <w:b/>
              </w:rPr>
              <w:t xml:space="preserve">likely to have any knock-on effects for any </w:t>
            </w:r>
            <w:r w:rsidR="00D03F99" w:rsidRPr="00464EFE">
              <w:rPr>
                <w:rFonts w:ascii="Arial" w:hAnsi="Arial" w:cs="Arial"/>
                <w:b/>
              </w:rPr>
              <w:t xml:space="preserve">other </w:t>
            </w:r>
            <w:r w:rsidRPr="00464EFE">
              <w:rPr>
                <w:rFonts w:ascii="Arial" w:hAnsi="Arial" w:cs="Arial"/>
                <w:b/>
              </w:rPr>
              <w:t xml:space="preserve">activities </w:t>
            </w:r>
            <w:r w:rsidR="00D03F99" w:rsidRPr="00464EFE">
              <w:rPr>
                <w:rFonts w:ascii="Arial" w:hAnsi="Arial" w:cs="Arial"/>
                <w:b/>
              </w:rPr>
              <w:t xml:space="preserve">carried out by or on behalf </w:t>
            </w:r>
            <w:r w:rsidR="00CE7A59" w:rsidRPr="00464EFE">
              <w:rPr>
                <w:rFonts w:ascii="Arial" w:hAnsi="Arial" w:cs="Arial"/>
                <w:b/>
              </w:rPr>
              <w:t>of the HSCP</w:t>
            </w:r>
            <w:r w:rsidR="00C158B2" w:rsidRPr="00464EFE">
              <w:rPr>
                <w:rFonts w:ascii="Arial" w:hAnsi="Arial" w:cs="Arial"/>
                <w:b/>
              </w:rPr>
              <w:t>?</w:t>
            </w:r>
          </w:p>
        </w:tc>
        <w:tc>
          <w:tcPr>
            <w:tcW w:w="4394" w:type="dxa"/>
          </w:tcPr>
          <w:p w:rsidR="00B62FC1" w:rsidRPr="00464EFE" w:rsidRDefault="00395F40" w:rsidP="006D5698">
            <w:pPr>
              <w:rPr>
                <w:rFonts w:ascii="Arial" w:hAnsi="Arial" w:cs="Arial"/>
              </w:rPr>
            </w:pPr>
            <w:r>
              <w:rPr>
                <w:rFonts w:ascii="Arial" w:hAnsi="Arial" w:cs="Arial"/>
              </w:rPr>
              <w:t>Yes</w:t>
            </w:r>
          </w:p>
        </w:tc>
      </w:tr>
    </w:tbl>
    <w:p w:rsidR="00B62FC1" w:rsidRDefault="00B62FC1" w:rsidP="00B62FC1">
      <w:pPr>
        <w:rPr>
          <w:rFonts w:ascii="Arial" w:hAnsi="Arial" w:cs="Arial"/>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B62FC1" w:rsidRPr="00464EFE" w:rsidTr="38B641A1">
        <w:tc>
          <w:tcPr>
            <w:tcW w:w="9351" w:type="dxa"/>
          </w:tcPr>
          <w:p w:rsidR="00B62FC1" w:rsidRPr="00464EFE" w:rsidRDefault="00144B0D" w:rsidP="00144B0D">
            <w:pPr>
              <w:rPr>
                <w:rFonts w:ascii="Arial" w:hAnsi="Arial" w:cs="Arial"/>
                <w:b/>
              </w:rPr>
            </w:pPr>
            <w:r w:rsidRPr="00464EFE">
              <w:rPr>
                <w:rFonts w:ascii="Arial" w:hAnsi="Arial" w:cs="Arial"/>
                <w:b/>
              </w:rPr>
              <w:t>Details of knock-on effects identified</w:t>
            </w:r>
          </w:p>
        </w:tc>
      </w:tr>
      <w:tr w:rsidR="00B62FC1" w:rsidRPr="00464EFE" w:rsidTr="38B641A1">
        <w:tc>
          <w:tcPr>
            <w:tcW w:w="9351" w:type="dxa"/>
          </w:tcPr>
          <w:p w:rsidR="00B62FC1" w:rsidRDefault="38B641A1" w:rsidP="00125EEC">
            <w:pPr>
              <w:rPr>
                <w:rFonts w:ascii="Arial" w:hAnsi="Arial" w:cs="Arial"/>
              </w:rPr>
            </w:pPr>
            <w:r w:rsidRPr="38B641A1">
              <w:rPr>
                <w:rFonts w:ascii="Arial" w:hAnsi="Arial" w:cs="Arial"/>
              </w:rPr>
              <w:lastRenderedPageBreak/>
              <w:t>There are current interdependencies between Advocacy Contract, Carers Group contracts and this contract. Any changes may have an impact of referrals levels for Advocacy and Carers Groups across Argyll and Bute. Forums and mental health third sector/service user/carer groups may be impacted due to no oversight and coordination or support</w:t>
            </w:r>
            <w:r w:rsidR="00453911">
              <w:rPr>
                <w:rFonts w:ascii="Arial" w:hAnsi="Arial" w:cs="Arial"/>
              </w:rPr>
              <w:t>.</w:t>
            </w:r>
          </w:p>
          <w:p w:rsidR="009A17AF" w:rsidRDefault="009A17AF" w:rsidP="00125EEC">
            <w:pPr>
              <w:rPr>
                <w:rFonts w:ascii="Arial" w:hAnsi="Arial" w:cs="Arial"/>
              </w:rPr>
            </w:pPr>
          </w:p>
          <w:p w:rsidR="002A0262" w:rsidRPr="00464EFE" w:rsidRDefault="002A0262" w:rsidP="00125EEC">
            <w:pPr>
              <w:rPr>
                <w:rFonts w:ascii="Arial" w:hAnsi="Arial" w:cs="Arial"/>
              </w:rPr>
            </w:pPr>
            <w:r>
              <w:rPr>
                <w:rFonts w:ascii="Arial" w:hAnsi="Arial" w:cs="Arial"/>
              </w:rPr>
              <w:t xml:space="preserve">ACUMEN </w:t>
            </w:r>
            <w:r w:rsidR="009A17AF">
              <w:rPr>
                <w:rFonts w:ascii="Arial" w:hAnsi="Arial" w:cs="Arial"/>
              </w:rPr>
              <w:t xml:space="preserve">as a lead partner </w:t>
            </w:r>
            <w:r>
              <w:rPr>
                <w:rFonts w:ascii="Arial" w:hAnsi="Arial" w:cs="Arial"/>
              </w:rPr>
              <w:t>have recently been award</w:t>
            </w:r>
            <w:r w:rsidR="00EF4F09">
              <w:rPr>
                <w:rFonts w:ascii="Arial" w:hAnsi="Arial" w:cs="Arial"/>
              </w:rPr>
              <w:t>ed</w:t>
            </w:r>
            <w:r>
              <w:rPr>
                <w:rFonts w:ascii="Arial" w:hAnsi="Arial" w:cs="Arial"/>
              </w:rPr>
              <w:t xml:space="preserve"> £19,000</w:t>
            </w:r>
            <w:r w:rsidR="009A17AF">
              <w:rPr>
                <w:rFonts w:ascii="Arial" w:hAnsi="Arial" w:cs="Arial"/>
              </w:rPr>
              <w:t xml:space="preserve"> as part of the A&amp;B Living Well Programme (along with The Listening Service and Support in Mind) to enable to Supported Self Care Planning Initiated in November 2020 and is contracted f</w:t>
            </w:r>
            <w:r w:rsidR="00453911">
              <w:rPr>
                <w:rFonts w:ascii="Arial" w:hAnsi="Arial" w:cs="Arial"/>
              </w:rPr>
              <w:t>or</w:t>
            </w:r>
            <w:r w:rsidR="009A17AF">
              <w:rPr>
                <w:rFonts w:ascii="Arial" w:hAnsi="Arial" w:cs="Arial"/>
              </w:rPr>
              <w:t xml:space="preserve"> 12 months. This initiative will be severely at risk should proposed costs be implemented within the next financial year. </w:t>
            </w:r>
          </w:p>
          <w:p w:rsidR="00CB79BC" w:rsidRPr="00464EFE" w:rsidRDefault="00CB79BC" w:rsidP="00125EEC">
            <w:pPr>
              <w:rPr>
                <w:rFonts w:ascii="Arial" w:hAnsi="Arial" w:cs="Arial"/>
              </w:rPr>
            </w:pPr>
          </w:p>
        </w:tc>
      </w:tr>
    </w:tbl>
    <w:p w:rsidR="00B62FC1" w:rsidRPr="00675C29" w:rsidRDefault="00B62FC1" w:rsidP="00B62FC1">
      <w:pPr>
        <w:rPr>
          <w:rFonts w:ascii="Arial" w:hAnsi="Arial" w:cs="Arial"/>
        </w:rPr>
      </w:pPr>
    </w:p>
    <w:p w:rsidR="00B62FC1" w:rsidRDefault="00B62FC1" w:rsidP="00B62FC1">
      <w:pPr>
        <w:jc w:val="center"/>
        <w:rPr>
          <w:rFonts w:ascii="Arial" w:hAnsi="Arial" w:cs="Arial"/>
          <w:b/>
          <w:color w:val="0070C0"/>
        </w:rPr>
      </w:pPr>
      <w:r w:rsidRPr="00B62FC1">
        <w:rPr>
          <w:rFonts w:ascii="Arial" w:hAnsi="Arial" w:cs="Arial"/>
          <w:b/>
          <w:color w:val="0070C0"/>
        </w:rPr>
        <w:t>Section 5: Monitoring and review</w:t>
      </w:r>
    </w:p>
    <w:p w:rsidR="00CB79BC" w:rsidRDefault="00CB79BC" w:rsidP="00B62FC1">
      <w:pPr>
        <w:jc w:val="center"/>
        <w:rPr>
          <w:rFonts w:ascii="Arial" w:hAnsi="Arial" w:cs="Arial"/>
          <w:b/>
          <w:color w:val="0070C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B62FC1" w:rsidRPr="00464EFE" w:rsidTr="00464EFE">
        <w:tc>
          <w:tcPr>
            <w:tcW w:w="9351" w:type="dxa"/>
          </w:tcPr>
          <w:p w:rsidR="00B62FC1" w:rsidRPr="00464EFE" w:rsidRDefault="00392747" w:rsidP="006D5698">
            <w:pPr>
              <w:rPr>
                <w:rFonts w:ascii="Arial" w:hAnsi="Arial" w:cs="Arial"/>
                <w:b/>
              </w:rPr>
            </w:pPr>
            <w:r w:rsidRPr="00464EFE">
              <w:rPr>
                <w:rFonts w:ascii="Arial" w:hAnsi="Arial" w:cs="Arial"/>
                <w:b/>
              </w:rPr>
              <w:t>Monitoring and review</w:t>
            </w:r>
          </w:p>
        </w:tc>
      </w:tr>
      <w:tr w:rsidR="00B62FC1" w:rsidRPr="00464EFE" w:rsidTr="00464EFE">
        <w:tc>
          <w:tcPr>
            <w:tcW w:w="9351" w:type="dxa"/>
          </w:tcPr>
          <w:p w:rsidR="00CB79BC" w:rsidRPr="00464EFE" w:rsidRDefault="00395F40" w:rsidP="00C158B2">
            <w:pPr>
              <w:rPr>
                <w:rFonts w:ascii="Arial" w:hAnsi="Arial" w:cs="Arial"/>
              </w:rPr>
            </w:pPr>
            <w:r>
              <w:rPr>
                <w:rFonts w:ascii="Arial" w:hAnsi="Arial" w:cs="Arial"/>
              </w:rPr>
              <w:t>The project plan will be monitored through the Mental Health Steering Group, with a direct report to the Learning Disability &amp; Mental Health Programme Board.</w:t>
            </w:r>
          </w:p>
        </w:tc>
      </w:tr>
    </w:tbl>
    <w:p w:rsidR="000B0245" w:rsidRPr="006360FA" w:rsidRDefault="000B0245" w:rsidP="006360FA"/>
    <w:sectPr w:rsidR="000B0245" w:rsidRPr="006360FA" w:rsidSect="006360FA">
      <w:footerReference w:type="default" r:id="rId12"/>
      <w:pgSz w:w="11907" w:h="16839" w:code="9"/>
      <w:pgMar w:top="567" w:right="1440" w:bottom="28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15F" w:rsidRDefault="00BF215F" w:rsidP="00E51AD6">
      <w:r>
        <w:separator/>
      </w:r>
    </w:p>
  </w:endnote>
  <w:endnote w:type="continuationSeparator" w:id="0">
    <w:p w:rsidR="00BF215F" w:rsidRDefault="00BF215F" w:rsidP="00E5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IN">
    <w:altName w:val="DIN"/>
    <w:panose1 w:val="00000000000000000000"/>
    <w:charset w:val="00"/>
    <w:family w:val="swiss"/>
    <w:notTrueType/>
    <w:pitch w:val="default"/>
    <w:sig w:usb0="00000003" w:usb1="00000000" w:usb2="00000000" w:usb3="00000000" w:csb0="00000001" w:csb1="00000000"/>
  </w:font>
  <w:font w:name="CLZDA N+ DIN">
    <w:altName w:val="DI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9BC" w:rsidRDefault="001074A1">
    <w:pPr>
      <w:pStyle w:val="Footer"/>
    </w:pPr>
    <w:r>
      <w:t>Version February 2020</w:t>
    </w:r>
    <w:r w:rsidR="00CB79BC">
      <w:t>, to be reviewed 2022</w:t>
    </w:r>
  </w:p>
  <w:p w:rsidR="00CB79BC" w:rsidRDefault="00CB7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15F" w:rsidRDefault="00BF215F" w:rsidP="00E51AD6">
      <w:r>
        <w:separator/>
      </w:r>
    </w:p>
  </w:footnote>
  <w:footnote w:type="continuationSeparator" w:id="0">
    <w:p w:rsidR="00BF215F" w:rsidRDefault="00BF215F" w:rsidP="00E51A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6031"/>
    <w:multiLevelType w:val="hybridMultilevel"/>
    <w:tmpl w:val="F7FAE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2D4907"/>
    <w:multiLevelType w:val="hybridMultilevel"/>
    <w:tmpl w:val="BFFA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F03C0"/>
    <w:multiLevelType w:val="hybridMultilevel"/>
    <w:tmpl w:val="3B2C7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5714E"/>
    <w:multiLevelType w:val="hybridMultilevel"/>
    <w:tmpl w:val="27D4550A"/>
    <w:lvl w:ilvl="0" w:tplc="8194A27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E09D1"/>
    <w:multiLevelType w:val="hybridMultilevel"/>
    <w:tmpl w:val="6B3EB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FC23F4"/>
    <w:multiLevelType w:val="hybridMultilevel"/>
    <w:tmpl w:val="0FB2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66296"/>
    <w:multiLevelType w:val="multilevel"/>
    <w:tmpl w:val="BDA0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F78A3"/>
    <w:multiLevelType w:val="hybridMultilevel"/>
    <w:tmpl w:val="A30C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8A56C2"/>
    <w:multiLevelType w:val="hybridMultilevel"/>
    <w:tmpl w:val="44B6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D2E4F"/>
    <w:multiLevelType w:val="hybridMultilevel"/>
    <w:tmpl w:val="5C1C17C8"/>
    <w:lvl w:ilvl="0" w:tplc="08B2D7F4">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F06C60"/>
    <w:multiLevelType w:val="hybridMultilevel"/>
    <w:tmpl w:val="E64CA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B7BF1"/>
    <w:multiLevelType w:val="hybridMultilevel"/>
    <w:tmpl w:val="911A26B0"/>
    <w:lvl w:ilvl="0" w:tplc="D3062F1C">
      <w:start w:val="19"/>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A37B2E"/>
    <w:multiLevelType w:val="hybridMultilevel"/>
    <w:tmpl w:val="D2441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62013"/>
    <w:multiLevelType w:val="hybridMultilevel"/>
    <w:tmpl w:val="663C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D224E9"/>
    <w:multiLevelType w:val="multilevel"/>
    <w:tmpl w:val="771A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2C5A29"/>
    <w:multiLevelType w:val="hybridMultilevel"/>
    <w:tmpl w:val="D158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50E17"/>
    <w:multiLevelType w:val="hybridMultilevel"/>
    <w:tmpl w:val="928A5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76284"/>
    <w:multiLevelType w:val="hybridMultilevel"/>
    <w:tmpl w:val="38AC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9775A9"/>
    <w:multiLevelType w:val="hybridMultilevel"/>
    <w:tmpl w:val="A6D81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5D2063"/>
    <w:multiLevelType w:val="hybridMultilevel"/>
    <w:tmpl w:val="6A40A0BA"/>
    <w:lvl w:ilvl="0" w:tplc="99E69A2E">
      <w:start w:val="1"/>
      <w:numFmt w:val="bullet"/>
      <w:lvlText w:val="•"/>
      <w:lvlJc w:val="left"/>
      <w:pPr>
        <w:tabs>
          <w:tab w:val="num" w:pos="720"/>
        </w:tabs>
        <w:ind w:left="720" w:hanging="360"/>
      </w:pPr>
      <w:rPr>
        <w:rFonts w:ascii="Times New Roman" w:hAnsi="Times New Roman" w:hint="default"/>
      </w:rPr>
    </w:lvl>
    <w:lvl w:ilvl="1" w:tplc="6ACA3122" w:tentative="1">
      <w:start w:val="1"/>
      <w:numFmt w:val="bullet"/>
      <w:lvlText w:val="•"/>
      <w:lvlJc w:val="left"/>
      <w:pPr>
        <w:tabs>
          <w:tab w:val="num" w:pos="1440"/>
        </w:tabs>
        <w:ind w:left="1440" w:hanging="360"/>
      </w:pPr>
      <w:rPr>
        <w:rFonts w:ascii="Times New Roman" w:hAnsi="Times New Roman" w:hint="default"/>
      </w:rPr>
    </w:lvl>
    <w:lvl w:ilvl="2" w:tplc="47D29126" w:tentative="1">
      <w:start w:val="1"/>
      <w:numFmt w:val="bullet"/>
      <w:lvlText w:val="•"/>
      <w:lvlJc w:val="left"/>
      <w:pPr>
        <w:tabs>
          <w:tab w:val="num" w:pos="2160"/>
        </w:tabs>
        <w:ind w:left="2160" w:hanging="360"/>
      </w:pPr>
      <w:rPr>
        <w:rFonts w:ascii="Times New Roman" w:hAnsi="Times New Roman" w:hint="default"/>
      </w:rPr>
    </w:lvl>
    <w:lvl w:ilvl="3" w:tplc="E39C6170" w:tentative="1">
      <w:start w:val="1"/>
      <w:numFmt w:val="bullet"/>
      <w:lvlText w:val="•"/>
      <w:lvlJc w:val="left"/>
      <w:pPr>
        <w:tabs>
          <w:tab w:val="num" w:pos="2880"/>
        </w:tabs>
        <w:ind w:left="2880" w:hanging="360"/>
      </w:pPr>
      <w:rPr>
        <w:rFonts w:ascii="Times New Roman" w:hAnsi="Times New Roman" w:hint="default"/>
      </w:rPr>
    </w:lvl>
    <w:lvl w:ilvl="4" w:tplc="6FE0416A" w:tentative="1">
      <w:start w:val="1"/>
      <w:numFmt w:val="bullet"/>
      <w:lvlText w:val="•"/>
      <w:lvlJc w:val="left"/>
      <w:pPr>
        <w:tabs>
          <w:tab w:val="num" w:pos="3600"/>
        </w:tabs>
        <w:ind w:left="3600" w:hanging="360"/>
      </w:pPr>
      <w:rPr>
        <w:rFonts w:ascii="Times New Roman" w:hAnsi="Times New Roman" w:hint="default"/>
      </w:rPr>
    </w:lvl>
    <w:lvl w:ilvl="5" w:tplc="F124B156" w:tentative="1">
      <w:start w:val="1"/>
      <w:numFmt w:val="bullet"/>
      <w:lvlText w:val="•"/>
      <w:lvlJc w:val="left"/>
      <w:pPr>
        <w:tabs>
          <w:tab w:val="num" w:pos="4320"/>
        </w:tabs>
        <w:ind w:left="4320" w:hanging="360"/>
      </w:pPr>
      <w:rPr>
        <w:rFonts w:ascii="Times New Roman" w:hAnsi="Times New Roman" w:hint="default"/>
      </w:rPr>
    </w:lvl>
    <w:lvl w:ilvl="6" w:tplc="D50CBD8A" w:tentative="1">
      <w:start w:val="1"/>
      <w:numFmt w:val="bullet"/>
      <w:lvlText w:val="•"/>
      <w:lvlJc w:val="left"/>
      <w:pPr>
        <w:tabs>
          <w:tab w:val="num" w:pos="5040"/>
        </w:tabs>
        <w:ind w:left="5040" w:hanging="360"/>
      </w:pPr>
      <w:rPr>
        <w:rFonts w:ascii="Times New Roman" w:hAnsi="Times New Roman" w:hint="default"/>
      </w:rPr>
    </w:lvl>
    <w:lvl w:ilvl="7" w:tplc="122A59B8" w:tentative="1">
      <w:start w:val="1"/>
      <w:numFmt w:val="bullet"/>
      <w:lvlText w:val="•"/>
      <w:lvlJc w:val="left"/>
      <w:pPr>
        <w:tabs>
          <w:tab w:val="num" w:pos="5760"/>
        </w:tabs>
        <w:ind w:left="5760" w:hanging="360"/>
      </w:pPr>
      <w:rPr>
        <w:rFonts w:ascii="Times New Roman" w:hAnsi="Times New Roman" w:hint="default"/>
      </w:rPr>
    </w:lvl>
    <w:lvl w:ilvl="8" w:tplc="80E4098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5AA7E1F"/>
    <w:multiLevelType w:val="hybridMultilevel"/>
    <w:tmpl w:val="61EE8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674E4E"/>
    <w:multiLevelType w:val="hybridMultilevel"/>
    <w:tmpl w:val="87EC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255FBF"/>
    <w:multiLevelType w:val="hybridMultilevel"/>
    <w:tmpl w:val="BAAE55F6"/>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156A50"/>
    <w:multiLevelType w:val="hybridMultilevel"/>
    <w:tmpl w:val="95A45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AA3B3D"/>
    <w:multiLevelType w:val="hybridMultilevel"/>
    <w:tmpl w:val="6044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BF6BEF"/>
    <w:multiLevelType w:val="hybridMultilevel"/>
    <w:tmpl w:val="0D9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D69C7"/>
    <w:multiLevelType w:val="hybridMultilevel"/>
    <w:tmpl w:val="674EB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723A85"/>
    <w:multiLevelType w:val="hybridMultilevel"/>
    <w:tmpl w:val="5676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4"/>
  </w:num>
  <w:num w:numId="4">
    <w:abstractNumId w:val="8"/>
  </w:num>
  <w:num w:numId="5">
    <w:abstractNumId w:val="16"/>
  </w:num>
  <w:num w:numId="6">
    <w:abstractNumId w:val="15"/>
  </w:num>
  <w:num w:numId="7">
    <w:abstractNumId w:val="1"/>
  </w:num>
  <w:num w:numId="8">
    <w:abstractNumId w:val="18"/>
  </w:num>
  <w:num w:numId="9">
    <w:abstractNumId w:val="5"/>
  </w:num>
  <w:num w:numId="10">
    <w:abstractNumId w:val="27"/>
  </w:num>
  <w:num w:numId="11">
    <w:abstractNumId w:val="20"/>
  </w:num>
  <w:num w:numId="12">
    <w:abstractNumId w:val="7"/>
  </w:num>
  <w:num w:numId="13">
    <w:abstractNumId w:val="25"/>
  </w:num>
  <w:num w:numId="14">
    <w:abstractNumId w:val="17"/>
  </w:num>
  <w:num w:numId="15">
    <w:abstractNumId w:val="12"/>
  </w:num>
  <w:num w:numId="16">
    <w:abstractNumId w:val="23"/>
  </w:num>
  <w:num w:numId="17">
    <w:abstractNumId w:val="4"/>
  </w:num>
  <w:num w:numId="18">
    <w:abstractNumId w:val="19"/>
  </w:num>
  <w:num w:numId="19">
    <w:abstractNumId w:val="14"/>
  </w:num>
  <w:num w:numId="20">
    <w:abstractNumId w:val="0"/>
  </w:num>
  <w:num w:numId="21">
    <w:abstractNumId w:val="21"/>
  </w:num>
  <w:num w:numId="22">
    <w:abstractNumId w:val="22"/>
  </w:num>
  <w:num w:numId="23">
    <w:abstractNumId w:val="2"/>
  </w:num>
  <w:num w:numId="24">
    <w:abstractNumId w:val="6"/>
  </w:num>
  <w:num w:numId="25">
    <w:abstractNumId w:val="26"/>
  </w:num>
  <w:num w:numId="26">
    <w:abstractNumId w:val="3"/>
  </w:num>
  <w:num w:numId="27">
    <w:abstractNumId w:val="9"/>
  </w:num>
  <w:num w:numId="2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E2"/>
    <w:rsid w:val="000011F4"/>
    <w:rsid w:val="00002F80"/>
    <w:rsid w:val="000079BF"/>
    <w:rsid w:val="00012751"/>
    <w:rsid w:val="00012D76"/>
    <w:rsid w:val="000279A8"/>
    <w:rsid w:val="000309BF"/>
    <w:rsid w:val="00060174"/>
    <w:rsid w:val="00062965"/>
    <w:rsid w:val="00081100"/>
    <w:rsid w:val="00085F66"/>
    <w:rsid w:val="00087B69"/>
    <w:rsid w:val="00087C6F"/>
    <w:rsid w:val="00091705"/>
    <w:rsid w:val="00097733"/>
    <w:rsid w:val="000A3235"/>
    <w:rsid w:val="000B0245"/>
    <w:rsid w:val="000B0610"/>
    <w:rsid w:val="000E6613"/>
    <w:rsid w:val="000F5F34"/>
    <w:rsid w:val="000F782D"/>
    <w:rsid w:val="001015A5"/>
    <w:rsid w:val="001022E3"/>
    <w:rsid w:val="001074A1"/>
    <w:rsid w:val="00123DCB"/>
    <w:rsid w:val="001254A8"/>
    <w:rsid w:val="00125EEC"/>
    <w:rsid w:val="0012615B"/>
    <w:rsid w:val="001301F3"/>
    <w:rsid w:val="0013116C"/>
    <w:rsid w:val="00144B0D"/>
    <w:rsid w:val="001501FD"/>
    <w:rsid w:val="001545A2"/>
    <w:rsid w:val="00164675"/>
    <w:rsid w:val="00171743"/>
    <w:rsid w:val="00172BA0"/>
    <w:rsid w:val="0017311B"/>
    <w:rsid w:val="00174E71"/>
    <w:rsid w:val="00174F8B"/>
    <w:rsid w:val="00177DB4"/>
    <w:rsid w:val="00187B26"/>
    <w:rsid w:val="0019022B"/>
    <w:rsid w:val="00197250"/>
    <w:rsid w:val="001A03B8"/>
    <w:rsid w:val="001A2B11"/>
    <w:rsid w:val="001A47AA"/>
    <w:rsid w:val="001B1C62"/>
    <w:rsid w:val="001B6A24"/>
    <w:rsid w:val="001B7248"/>
    <w:rsid w:val="001B793A"/>
    <w:rsid w:val="001C117A"/>
    <w:rsid w:val="001C2968"/>
    <w:rsid w:val="001C29B5"/>
    <w:rsid w:val="001D30CE"/>
    <w:rsid w:val="001D505E"/>
    <w:rsid w:val="001F5152"/>
    <w:rsid w:val="00205B4A"/>
    <w:rsid w:val="002119CC"/>
    <w:rsid w:val="00215A73"/>
    <w:rsid w:val="0021691A"/>
    <w:rsid w:val="00240975"/>
    <w:rsid w:val="0025044F"/>
    <w:rsid w:val="00251D2D"/>
    <w:rsid w:val="00252D5E"/>
    <w:rsid w:val="0027462C"/>
    <w:rsid w:val="002775AF"/>
    <w:rsid w:val="002848C9"/>
    <w:rsid w:val="002A0262"/>
    <w:rsid w:val="002A1A45"/>
    <w:rsid w:val="002B0B68"/>
    <w:rsid w:val="002B0DED"/>
    <w:rsid w:val="002B0EAA"/>
    <w:rsid w:val="002B1F81"/>
    <w:rsid w:val="002C1492"/>
    <w:rsid w:val="002C4315"/>
    <w:rsid w:val="002D3732"/>
    <w:rsid w:val="002E537C"/>
    <w:rsid w:val="002E7BE9"/>
    <w:rsid w:val="002F073E"/>
    <w:rsid w:val="002F1132"/>
    <w:rsid w:val="002F6CE4"/>
    <w:rsid w:val="0030392A"/>
    <w:rsid w:val="00307164"/>
    <w:rsid w:val="003144F1"/>
    <w:rsid w:val="003308DD"/>
    <w:rsid w:val="00331C39"/>
    <w:rsid w:val="00336B5E"/>
    <w:rsid w:val="00344439"/>
    <w:rsid w:val="0034768E"/>
    <w:rsid w:val="00355589"/>
    <w:rsid w:val="00360C73"/>
    <w:rsid w:val="00382A15"/>
    <w:rsid w:val="00384C73"/>
    <w:rsid w:val="00390104"/>
    <w:rsid w:val="00392747"/>
    <w:rsid w:val="00395F40"/>
    <w:rsid w:val="003B3B62"/>
    <w:rsid w:val="003C55FC"/>
    <w:rsid w:val="003E2DCC"/>
    <w:rsid w:val="003E62D9"/>
    <w:rsid w:val="003F7B21"/>
    <w:rsid w:val="00401A8C"/>
    <w:rsid w:val="004102C0"/>
    <w:rsid w:val="0041128C"/>
    <w:rsid w:val="0041644A"/>
    <w:rsid w:val="00424A96"/>
    <w:rsid w:val="00433226"/>
    <w:rsid w:val="00434AD4"/>
    <w:rsid w:val="00436073"/>
    <w:rsid w:val="0043798F"/>
    <w:rsid w:val="00445E56"/>
    <w:rsid w:val="00453911"/>
    <w:rsid w:val="00464EFE"/>
    <w:rsid w:val="00465172"/>
    <w:rsid w:val="00465203"/>
    <w:rsid w:val="004704E4"/>
    <w:rsid w:val="00471C4C"/>
    <w:rsid w:val="00473731"/>
    <w:rsid w:val="00476AD4"/>
    <w:rsid w:val="00476DF4"/>
    <w:rsid w:val="00481822"/>
    <w:rsid w:val="004850BA"/>
    <w:rsid w:val="004971F9"/>
    <w:rsid w:val="004C2548"/>
    <w:rsid w:val="004C7BC0"/>
    <w:rsid w:val="004D0776"/>
    <w:rsid w:val="004D2B14"/>
    <w:rsid w:val="004D2CF6"/>
    <w:rsid w:val="004D34A9"/>
    <w:rsid w:val="00503C44"/>
    <w:rsid w:val="005060BE"/>
    <w:rsid w:val="00511202"/>
    <w:rsid w:val="00512748"/>
    <w:rsid w:val="005166F6"/>
    <w:rsid w:val="005217C9"/>
    <w:rsid w:val="00523059"/>
    <w:rsid w:val="0052383C"/>
    <w:rsid w:val="00524CAD"/>
    <w:rsid w:val="005308AB"/>
    <w:rsid w:val="00531730"/>
    <w:rsid w:val="005464A9"/>
    <w:rsid w:val="005472E7"/>
    <w:rsid w:val="005479B4"/>
    <w:rsid w:val="00550755"/>
    <w:rsid w:val="005615F4"/>
    <w:rsid w:val="005635D2"/>
    <w:rsid w:val="0056488D"/>
    <w:rsid w:val="00564E6B"/>
    <w:rsid w:val="00567293"/>
    <w:rsid w:val="00571C6C"/>
    <w:rsid w:val="005A0B08"/>
    <w:rsid w:val="005D3CED"/>
    <w:rsid w:val="005D481B"/>
    <w:rsid w:val="005D73A1"/>
    <w:rsid w:val="006112AB"/>
    <w:rsid w:val="00615348"/>
    <w:rsid w:val="00616F85"/>
    <w:rsid w:val="00626524"/>
    <w:rsid w:val="006360FA"/>
    <w:rsid w:val="0065111C"/>
    <w:rsid w:val="00660457"/>
    <w:rsid w:val="00663E06"/>
    <w:rsid w:val="006748B1"/>
    <w:rsid w:val="00692065"/>
    <w:rsid w:val="006A1C33"/>
    <w:rsid w:val="006A3A10"/>
    <w:rsid w:val="006B3895"/>
    <w:rsid w:val="006B3DF1"/>
    <w:rsid w:val="006C0EFD"/>
    <w:rsid w:val="006C1529"/>
    <w:rsid w:val="006C4165"/>
    <w:rsid w:val="006C6EB2"/>
    <w:rsid w:val="006D5698"/>
    <w:rsid w:val="006E575F"/>
    <w:rsid w:val="006E5C39"/>
    <w:rsid w:val="006F1192"/>
    <w:rsid w:val="00710926"/>
    <w:rsid w:val="007115B2"/>
    <w:rsid w:val="00712256"/>
    <w:rsid w:val="0072193F"/>
    <w:rsid w:val="00721ADB"/>
    <w:rsid w:val="0073591B"/>
    <w:rsid w:val="00743370"/>
    <w:rsid w:val="00745E09"/>
    <w:rsid w:val="00746920"/>
    <w:rsid w:val="00747840"/>
    <w:rsid w:val="00752BB1"/>
    <w:rsid w:val="0075317D"/>
    <w:rsid w:val="00756A46"/>
    <w:rsid w:val="007603D9"/>
    <w:rsid w:val="0078521F"/>
    <w:rsid w:val="00787E96"/>
    <w:rsid w:val="00792037"/>
    <w:rsid w:val="0079270E"/>
    <w:rsid w:val="007A5D58"/>
    <w:rsid w:val="007C13C3"/>
    <w:rsid w:val="007C2666"/>
    <w:rsid w:val="007C5742"/>
    <w:rsid w:val="007E21FC"/>
    <w:rsid w:val="007E222F"/>
    <w:rsid w:val="007E3834"/>
    <w:rsid w:val="007E4325"/>
    <w:rsid w:val="007E62D2"/>
    <w:rsid w:val="007E6E61"/>
    <w:rsid w:val="007E7A90"/>
    <w:rsid w:val="008005BD"/>
    <w:rsid w:val="008077E3"/>
    <w:rsid w:val="00814469"/>
    <w:rsid w:val="00816744"/>
    <w:rsid w:val="00837587"/>
    <w:rsid w:val="00840955"/>
    <w:rsid w:val="008450D0"/>
    <w:rsid w:val="00846EA6"/>
    <w:rsid w:val="00851024"/>
    <w:rsid w:val="008519A5"/>
    <w:rsid w:val="0086372D"/>
    <w:rsid w:val="0087155B"/>
    <w:rsid w:val="00875E9C"/>
    <w:rsid w:val="00881412"/>
    <w:rsid w:val="00887E53"/>
    <w:rsid w:val="008946EA"/>
    <w:rsid w:val="008A1A86"/>
    <w:rsid w:val="008A212E"/>
    <w:rsid w:val="008A551C"/>
    <w:rsid w:val="008B10E1"/>
    <w:rsid w:val="008B4DE0"/>
    <w:rsid w:val="008C08C5"/>
    <w:rsid w:val="008C1576"/>
    <w:rsid w:val="008C5204"/>
    <w:rsid w:val="008C745F"/>
    <w:rsid w:val="008D4B25"/>
    <w:rsid w:val="008E3AFD"/>
    <w:rsid w:val="008E42E7"/>
    <w:rsid w:val="008E52FF"/>
    <w:rsid w:val="008E5630"/>
    <w:rsid w:val="008E7D6B"/>
    <w:rsid w:val="0091045B"/>
    <w:rsid w:val="00910CE3"/>
    <w:rsid w:val="00911C41"/>
    <w:rsid w:val="009121B5"/>
    <w:rsid w:val="00914D5B"/>
    <w:rsid w:val="00916621"/>
    <w:rsid w:val="009166FA"/>
    <w:rsid w:val="0092161A"/>
    <w:rsid w:val="00926382"/>
    <w:rsid w:val="00926A8E"/>
    <w:rsid w:val="00926AD9"/>
    <w:rsid w:val="0093189F"/>
    <w:rsid w:val="00940063"/>
    <w:rsid w:val="00944728"/>
    <w:rsid w:val="009450DB"/>
    <w:rsid w:val="009472F4"/>
    <w:rsid w:val="0095564C"/>
    <w:rsid w:val="00957071"/>
    <w:rsid w:val="00960CEB"/>
    <w:rsid w:val="00961D7A"/>
    <w:rsid w:val="00962D38"/>
    <w:rsid w:val="00964CC9"/>
    <w:rsid w:val="00965230"/>
    <w:rsid w:val="00970C73"/>
    <w:rsid w:val="009764BE"/>
    <w:rsid w:val="00977082"/>
    <w:rsid w:val="00985C18"/>
    <w:rsid w:val="00986475"/>
    <w:rsid w:val="00994623"/>
    <w:rsid w:val="00995AC0"/>
    <w:rsid w:val="009A11E9"/>
    <w:rsid w:val="009A17AF"/>
    <w:rsid w:val="009A6668"/>
    <w:rsid w:val="009C4841"/>
    <w:rsid w:val="009C51B7"/>
    <w:rsid w:val="009C5D3C"/>
    <w:rsid w:val="009C6B97"/>
    <w:rsid w:val="009D63B4"/>
    <w:rsid w:val="009D6BC2"/>
    <w:rsid w:val="009E17E8"/>
    <w:rsid w:val="009E69C7"/>
    <w:rsid w:val="009F098E"/>
    <w:rsid w:val="009F21CA"/>
    <w:rsid w:val="009F2C85"/>
    <w:rsid w:val="00A133CF"/>
    <w:rsid w:val="00A1473B"/>
    <w:rsid w:val="00A21E3D"/>
    <w:rsid w:val="00A227D8"/>
    <w:rsid w:val="00A25DC3"/>
    <w:rsid w:val="00A343FF"/>
    <w:rsid w:val="00A34575"/>
    <w:rsid w:val="00A45B11"/>
    <w:rsid w:val="00A477ED"/>
    <w:rsid w:val="00A524EE"/>
    <w:rsid w:val="00A52A41"/>
    <w:rsid w:val="00A65DDF"/>
    <w:rsid w:val="00A6683F"/>
    <w:rsid w:val="00A67BEB"/>
    <w:rsid w:val="00A75E7C"/>
    <w:rsid w:val="00A81748"/>
    <w:rsid w:val="00A82383"/>
    <w:rsid w:val="00A830D8"/>
    <w:rsid w:val="00A83A67"/>
    <w:rsid w:val="00A857E5"/>
    <w:rsid w:val="00A921D0"/>
    <w:rsid w:val="00A95371"/>
    <w:rsid w:val="00AA2F6C"/>
    <w:rsid w:val="00AA6B48"/>
    <w:rsid w:val="00AB2F3D"/>
    <w:rsid w:val="00AD49AE"/>
    <w:rsid w:val="00AE2B90"/>
    <w:rsid w:val="00AF2C7C"/>
    <w:rsid w:val="00AF3921"/>
    <w:rsid w:val="00AF522B"/>
    <w:rsid w:val="00AF7136"/>
    <w:rsid w:val="00B00A16"/>
    <w:rsid w:val="00B07045"/>
    <w:rsid w:val="00B1457A"/>
    <w:rsid w:val="00B14DBF"/>
    <w:rsid w:val="00B16B7D"/>
    <w:rsid w:val="00B27B3A"/>
    <w:rsid w:val="00B53542"/>
    <w:rsid w:val="00B61186"/>
    <w:rsid w:val="00B626CA"/>
    <w:rsid w:val="00B62FC1"/>
    <w:rsid w:val="00B67C99"/>
    <w:rsid w:val="00B75581"/>
    <w:rsid w:val="00B854EB"/>
    <w:rsid w:val="00BA1A94"/>
    <w:rsid w:val="00BA5EA9"/>
    <w:rsid w:val="00BC234E"/>
    <w:rsid w:val="00BC627A"/>
    <w:rsid w:val="00BC66A6"/>
    <w:rsid w:val="00BD04A8"/>
    <w:rsid w:val="00BD69C3"/>
    <w:rsid w:val="00BE3DCC"/>
    <w:rsid w:val="00BE5C18"/>
    <w:rsid w:val="00BF215F"/>
    <w:rsid w:val="00C03627"/>
    <w:rsid w:val="00C07475"/>
    <w:rsid w:val="00C158B2"/>
    <w:rsid w:val="00C15E6C"/>
    <w:rsid w:val="00C2190D"/>
    <w:rsid w:val="00C263D9"/>
    <w:rsid w:val="00C41848"/>
    <w:rsid w:val="00C44904"/>
    <w:rsid w:val="00C44D46"/>
    <w:rsid w:val="00C5766A"/>
    <w:rsid w:val="00C61BB4"/>
    <w:rsid w:val="00C665CF"/>
    <w:rsid w:val="00C6794B"/>
    <w:rsid w:val="00C72951"/>
    <w:rsid w:val="00C77D76"/>
    <w:rsid w:val="00C77FB1"/>
    <w:rsid w:val="00C81E64"/>
    <w:rsid w:val="00C8573D"/>
    <w:rsid w:val="00CA057E"/>
    <w:rsid w:val="00CA0DF2"/>
    <w:rsid w:val="00CA4B63"/>
    <w:rsid w:val="00CA61AC"/>
    <w:rsid w:val="00CB79BC"/>
    <w:rsid w:val="00CE1E65"/>
    <w:rsid w:val="00CE5DCF"/>
    <w:rsid w:val="00CE6365"/>
    <w:rsid w:val="00CE7A59"/>
    <w:rsid w:val="00D03F99"/>
    <w:rsid w:val="00D16B8D"/>
    <w:rsid w:val="00D40C45"/>
    <w:rsid w:val="00D57AA1"/>
    <w:rsid w:val="00D65E47"/>
    <w:rsid w:val="00D65FC3"/>
    <w:rsid w:val="00D73823"/>
    <w:rsid w:val="00D74FFE"/>
    <w:rsid w:val="00D75DA1"/>
    <w:rsid w:val="00D861B8"/>
    <w:rsid w:val="00DA27ED"/>
    <w:rsid w:val="00DA44A4"/>
    <w:rsid w:val="00DB0F7C"/>
    <w:rsid w:val="00DB5C72"/>
    <w:rsid w:val="00DB732F"/>
    <w:rsid w:val="00DC3749"/>
    <w:rsid w:val="00DD1E74"/>
    <w:rsid w:val="00DD64DC"/>
    <w:rsid w:val="00DE62FE"/>
    <w:rsid w:val="00DE7DDF"/>
    <w:rsid w:val="00DF006C"/>
    <w:rsid w:val="00DF0D46"/>
    <w:rsid w:val="00DF3458"/>
    <w:rsid w:val="00DF4BF3"/>
    <w:rsid w:val="00E02E2D"/>
    <w:rsid w:val="00E13B23"/>
    <w:rsid w:val="00E15D53"/>
    <w:rsid w:val="00E2001B"/>
    <w:rsid w:val="00E4270C"/>
    <w:rsid w:val="00E51AD6"/>
    <w:rsid w:val="00E5589C"/>
    <w:rsid w:val="00E6762A"/>
    <w:rsid w:val="00E678FA"/>
    <w:rsid w:val="00E74C7E"/>
    <w:rsid w:val="00E755E9"/>
    <w:rsid w:val="00E77C1A"/>
    <w:rsid w:val="00E86C0B"/>
    <w:rsid w:val="00E920CE"/>
    <w:rsid w:val="00EB3D69"/>
    <w:rsid w:val="00EC77FC"/>
    <w:rsid w:val="00EE3466"/>
    <w:rsid w:val="00EE7717"/>
    <w:rsid w:val="00EF0358"/>
    <w:rsid w:val="00EF4F09"/>
    <w:rsid w:val="00F13AC1"/>
    <w:rsid w:val="00F20BC0"/>
    <w:rsid w:val="00F21304"/>
    <w:rsid w:val="00F23164"/>
    <w:rsid w:val="00F25281"/>
    <w:rsid w:val="00F3029F"/>
    <w:rsid w:val="00F371CF"/>
    <w:rsid w:val="00F420EF"/>
    <w:rsid w:val="00F42EFE"/>
    <w:rsid w:val="00F443BB"/>
    <w:rsid w:val="00F5678A"/>
    <w:rsid w:val="00F611E2"/>
    <w:rsid w:val="00F61CD0"/>
    <w:rsid w:val="00F630B4"/>
    <w:rsid w:val="00F65B6D"/>
    <w:rsid w:val="00F66911"/>
    <w:rsid w:val="00F83952"/>
    <w:rsid w:val="00F91088"/>
    <w:rsid w:val="00F9400B"/>
    <w:rsid w:val="00F9435A"/>
    <w:rsid w:val="00FA0E3E"/>
    <w:rsid w:val="00FB0914"/>
    <w:rsid w:val="00FD7DB6"/>
    <w:rsid w:val="00FE18EF"/>
    <w:rsid w:val="00FE3DB9"/>
    <w:rsid w:val="00FE4095"/>
    <w:rsid w:val="00FE69F5"/>
    <w:rsid w:val="00FF1675"/>
    <w:rsid w:val="00FF786D"/>
    <w:rsid w:val="38B641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ED6CE15-1FCF-44D2-A2CF-F1B966C9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611E2"/>
    <w:pPr>
      <w:widowControl w:val="0"/>
    </w:pPr>
    <w:rPr>
      <w:sz w:val="22"/>
      <w:szCs w:val="22"/>
      <w:lang w:eastAsia="en-US"/>
    </w:rPr>
  </w:style>
  <w:style w:type="paragraph" w:styleId="Heading1">
    <w:name w:val="heading 1"/>
    <w:basedOn w:val="Normal"/>
    <w:next w:val="Normal"/>
    <w:link w:val="Heading1Char"/>
    <w:uiPriority w:val="9"/>
    <w:qFormat/>
    <w:rsid w:val="008D4B25"/>
    <w:pPr>
      <w:keepNext/>
      <w:keepLines/>
      <w:spacing w:before="24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8D4B25"/>
    <w:pPr>
      <w:keepNext/>
      <w:keepLines/>
      <w:spacing w:before="4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56488D"/>
    <w:pPr>
      <w:keepNext/>
      <w:keepLines/>
      <w:widowControl/>
      <w:spacing w:before="40" w:line="259" w:lineRule="auto"/>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B25"/>
    <w:pPr>
      <w:ind w:left="720"/>
      <w:contextualSpacing/>
    </w:pPr>
  </w:style>
  <w:style w:type="character" w:customStyle="1" w:styleId="Heading1Char">
    <w:name w:val="Heading 1 Char"/>
    <w:link w:val="Heading1"/>
    <w:uiPriority w:val="9"/>
    <w:rsid w:val="008D4B25"/>
    <w:rPr>
      <w:rFonts w:ascii="Calibri Light" w:eastAsia="Times New Roman" w:hAnsi="Calibri Light" w:cs="Times New Roman"/>
      <w:color w:val="2E74B5"/>
      <w:sz w:val="32"/>
      <w:szCs w:val="32"/>
    </w:rPr>
  </w:style>
  <w:style w:type="character" w:customStyle="1" w:styleId="Heading2Char">
    <w:name w:val="Heading 2 Char"/>
    <w:link w:val="Heading2"/>
    <w:uiPriority w:val="9"/>
    <w:rsid w:val="008D4B25"/>
    <w:rPr>
      <w:rFonts w:ascii="Calibri Light" w:eastAsia="Times New Roman" w:hAnsi="Calibri Light" w:cs="Times New Roman"/>
      <w:color w:val="2E74B5"/>
      <w:sz w:val="26"/>
      <w:szCs w:val="26"/>
    </w:rPr>
  </w:style>
  <w:style w:type="paragraph" w:styleId="TOCHeading">
    <w:name w:val="TOC Heading"/>
    <w:basedOn w:val="Heading1"/>
    <w:next w:val="Normal"/>
    <w:uiPriority w:val="39"/>
    <w:unhideWhenUsed/>
    <w:qFormat/>
    <w:rsid w:val="00AD49AE"/>
    <w:pPr>
      <w:widowControl/>
      <w:spacing w:line="259" w:lineRule="auto"/>
      <w:outlineLvl w:val="9"/>
    </w:pPr>
    <w:rPr>
      <w:lang w:val="en-US"/>
    </w:rPr>
  </w:style>
  <w:style w:type="paragraph" w:styleId="TOC1">
    <w:name w:val="toc 1"/>
    <w:basedOn w:val="Normal"/>
    <w:next w:val="Normal"/>
    <w:autoRedefine/>
    <w:uiPriority w:val="39"/>
    <w:unhideWhenUsed/>
    <w:rsid w:val="00465172"/>
    <w:pPr>
      <w:tabs>
        <w:tab w:val="left" w:pos="660"/>
        <w:tab w:val="right" w:leader="dot" w:pos="9016"/>
      </w:tabs>
      <w:spacing w:after="100"/>
    </w:pPr>
    <w:rPr>
      <w:rFonts w:ascii="Arial" w:hAnsi="Arial" w:cs="Arial"/>
      <w:b/>
      <w:noProof/>
    </w:rPr>
  </w:style>
  <w:style w:type="paragraph" w:styleId="TOC2">
    <w:name w:val="toc 2"/>
    <w:basedOn w:val="Normal"/>
    <w:next w:val="Normal"/>
    <w:autoRedefine/>
    <w:uiPriority w:val="39"/>
    <w:unhideWhenUsed/>
    <w:rsid w:val="00AD49AE"/>
    <w:pPr>
      <w:spacing w:after="100"/>
      <w:ind w:left="220"/>
    </w:pPr>
  </w:style>
  <w:style w:type="character" w:styleId="Hyperlink">
    <w:name w:val="Hyperlink"/>
    <w:uiPriority w:val="99"/>
    <w:unhideWhenUsed/>
    <w:rsid w:val="00AD49AE"/>
    <w:rPr>
      <w:color w:val="0563C1"/>
      <w:u w:val="single"/>
    </w:rPr>
  </w:style>
  <w:style w:type="character" w:customStyle="1" w:styleId="Heading3Char">
    <w:name w:val="Heading 3 Char"/>
    <w:link w:val="Heading3"/>
    <w:uiPriority w:val="9"/>
    <w:rsid w:val="0056488D"/>
    <w:rPr>
      <w:rFonts w:ascii="Calibri Light" w:eastAsia="Times New Roman" w:hAnsi="Calibri Light" w:cs="Times New Roman"/>
      <w:color w:val="1F4D78"/>
      <w:sz w:val="24"/>
      <w:szCs w:val="24"/>
    </w:rPr>
  </w:style>
  <w:style w:type="paragraph" w:styleId="TOC3">
    <w:name w:val="toc 3"/>
    <w:basedOn w:val="Normal"/>
    <w:next w:val="Normal"/>
    <w:autoRedefine/>
    <w:uiPriority w:val="39"/>
    <w:unhideWhenUsed/>
    <w:rsid w:val="0056488D"/>
    <w:pPr>
      <w:spacing w:after="100"/>
      <w:ind w:left="440"/>
    </w:pPr>
  </w:style>
  <w:style w:type="paragraph" w:styleId="Header">
    <w:name w:val="header"/>
    <w:basedOn w:val="Normal"/>
    <w:link w:val="HeaderChar"/>
    <w:uiPriority w:val="99"/>
    <w:unhideWhenUsed/>
    <w:rsid w:val="00E51AD6"/>
    <w:pPr>
      <w:tabs>
        <w:tab w:val="center" w:pos="4513"/>
        <w:tab w:val="right" w:pos="9026"/>
      </w:tabs>
    </w:pPr>
  </w:style>
  <w:style w:type="character" w:customStyle="1" w:styleId="HeaderChar">
    <w:name w:val="Header Char"/>
    <w:basedOn w:val="DefaultParagraphFont"/>
    <w:link w:val="Header"/>
    <w:uiPriority w:val="99"/>
    <w:rsid w:val="00E51AD6"/>
  </w:style>
  <w:style w:type="paragraph" w:styleId="Footer">
    <w:name w:val="footer"/>
    <w:basedOn w:val="Normal"/>
    <w:link w:val="FooterChar"/>
    <w:uiPriority w:val="99"/>
    <w:unhideWhenUsed/>
    <w:rsid w:val="00E51AD6"/>
    <w:pPr>
      <w:tabs>
        <w:tab w:val="center" w:pos="4513"/>
        <w:tab w:val="right" w:pos="9026"/>
      </w:tabs>
    </w:pPr>
  </w:style>
  <w:style w:type="character" w:customStyle="1" w:styleId="FooterChar">
    <w:name w:val="Footer Char"/>
    <w:basedOn w:val="DefaultParagraphFont"/>
    <w:link w:val="Footer"/>
    <w:uiPriority w:val="99"/>
    <w:rsid w:val="00E51AD6"/>
  </w:style>
  <w:style w:type="paragraph" w:styleId="BalloonText">
    <w:name w:val="Balloon Text"/>
    <w:basedOn w:val="Normal"/>
    <w:link w:val="BalloonTextChar"/>
    <w:uiPriority w:val="99"/>
    <w:semiHidden/>
    <w:unhideWhenUsed/>
    <w:rsid w:val="0021691A"/>
    <w:rPr>
      <w:rFonts w:ascii="Segoe UI" w:hAnsi="Segoe UI" w:cs="Segoe UI"/>
      <w:sz w:val="18"/>
      <w:szCs w:val="18"/>
    </w:rPr>
  </w:style>
  <w:style w:type="character" w:customStyle="1" w:styleId="BalloonTextChar">
    <w:name w:val="Balloon Text Char"/>
    <w:link w:val="BalloonText"/>
    <w:uiPriority w:val="99"/>
    <w:semiHidden/>
    <w:rsid w:val="0021691A"/>
    <w:rPr>
      <w:rFonts w:ascii="Segoe UI" w:hAnsi="Segoe UI" w:cs="Segoe UI"/>
      <w:sz w:val="18"/>
      <w:szCs w:val="18"/>
    </w:rPr>
  </w:style>
  <w:style w:type="character" w:styleId="FollowedHyperlink">
    <w:name w:val="FollowedHyperlink"/>
    <w:uiPriority w:val="99"/>
    <w:semiHidden/>
    <w:unhideWhenUsed/>
    <w:rsid w:val="006A1C33"/>
    <w:rPr>
      <w:color w:val="954F72"/>
      <w:u w:val="single"/>
    </w:rPr>
  </w:style>
  <w:style w:type="paragraph" w:styleId="NoSpacing">
    <w:name w:val="No Spacing"/>
    <w:uiPriority w:val="1"/>
    <w:qFormat/>
    <w:rsid w:val="00DE62FE"/>
    <w:pPr>
      <w:widowControl w:val="0"/>
    </w:pPr>
    <w:rPr>
      <w:sz w:val="22"/>
      <w:szCs w:val="22"/>
      <w:lang w:eastAsia="en-US"/>
    </w:rPr>
  </w:style>
  <w:style w:type="table" w:styleId="LightGrid-Accent5">
    <w:name w:val="Light Grid Accent 5"/>
    <w:basedOn w:val="TableNormal"/>
    <w:uiPriority w:val="62"/>
    <w:rsid w:val="00164675"/>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List1-Accent11">
    <w:name w:val="Medium List 1 - Accent 11"/>
    <w:basedOn w:val="TableNormal"/>
    <w:uiPriority w:val="65"/>
    <w:rsid w:val="00F21304"/>
    <w:rPr>
      <w:color w:val="000000"/>
    </w:rPr>
    <w:tblPr>
      <w:tblStyleRowBandSize w:val="1"/>
      <w:tblStyleColBandSize w:val="1"/>
      <w:tblBorders>
        <w:top w:val="single" w:sz="8" w:space="0" w:color="5B9BD5"/>
        <w:bottom w:val="single" w:sz="8" w:space="0" w:color="5B9BD5"/>
      </w:tblBorders>
    </w:tblPr>
    <w:tblStylePr w:type="firstRow">
      <w:rPr>
        <w:rFonts w:ascii="Palatino Linotype" w:eastAsia="Times New Roman" w:hAnsi="Palatino Linotype"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Shading1-Accent5">
    <w:name w:val="Medium Shading 1 Accent 5"/>
    <w:basedOn w:val="TableNormal"/>
    <w:uiPriority w:val="63"/>
    <w:rsid w:val="00CA61AC"/>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A61AC"/>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styleId="NormalWeb">
    <w:name w:val="Normal (Web)"/>
    <w:basedOn w:val="Normal"/>
    <w:uiPriority w:val="99"/>
    <w:unhideWhenUsed/>
    <w:rsid w:val="00C44D46"/>
    <w:pPr>
      <w:widowControl/>
      <w:spacing w:after="315"/>
    </w:pPr>
    <w:rPr>
      <w:rFonts w:ascii="Times New Roman" w:eastAsia="Times New Roman" w:hAnsi="Times New Roman"/>
      <w:sz w:val="24"/>
      <w:szCs w:val="24"/>
      <w:lang w:eastAsia="en-GB"/>
    </w:rPr>
  </w:style>
  <w:style w:type="paragraph" w:customStyle="1" w:styleId="Tableparaintra-cell">
    <w:name w:val="&gt; Table para (intra-cell)"/>
    <w:basedOn w:val="Normal"/>
    <w:qFormat/>
    <w:rsid w:val="00E5589C"/>
    <w:pPr>
      <w:widowControl/>
      <w:spacing w:after="60" w:line="300" w:lineRule="auto"/>
    </w:pPr>
    <w:rPr>
      <w:rFonts w:ascii="Arial" w:eastAsia="Times New Roman" w:hAnsi="Arial" w:cs="Arial"/>
      <w:sz w:val="24"/>
      <w:szCs w:val="24"/>
    </w:rPr>
  </w:style>
  <w:style w:type="character" w:styleId="Strong">
    <w:name w:val="Strong"/>
    <w:uiPriority w:val="22"/>
    <w:qFormat/>
    <w:rsid w:val="006B3895"/>
    <w:rPr>
      <w:b/>
      <w:bCs/>
    </w:rPr>
  </w:style>
  <w:style w:type="character" w:customStyle="1" w:styleId="A2">
    <w:name w:val="A2"/>
    <w:uiPriority w:val="99"/>
    <w:rsid w:val="00B854EB"/>
    <w:rPr>
      <w:rFonts w:cs="DIN"/>
      <w:color w:val="000000"/>
      <w:sz w:val="22"/>
      <w:szCs w:val="22"/>
    </w:rPr>
  </w:style>
  <w:style w:type="paragraph" w:customStyle="1" w:styleId="Pa45">
    <w:name w:val="Pa45"/>
    <w:basedOn w:val="Normal"/>
    <w:next w:val="Normal"/>
    <w:uiPriority w:val="99"/>
    <w:rsid w:val="00436073"/>
    <w:pPr>
      <w:widowControl/>
      <w:autoSpaceDE w:val="0"/>
      <w:autoSpaceDN w:val="0"/>
      <w:adjustRightInd w:val="0"/>
      <w:spacing w:line="241" w:lineRule="atLeast"/>
    </w:pPr>
    <w:rPr>
      <w:rFonts w:ascii="CLZDA N+ DIN" w:hAnsi="CLZDA N+ DI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5437">
      <w:bodyDiv w:val="1"/>
      <w:marLeft w:val="0"/>
      <w:marRight w:val="0"/>
      <w:marTop w:val="0"/>
      <w:marBottom w:val="0"/>
      <w:divBdr>
        <w:top w:val="none" w:sz="0" w:space="0" w:color="auto"/>
        <w:left w:val="none" w:sz="0" w:space="0" w:color="auto"/>
        <w:bottom w:val="none" w:sz="0" w:space="0" w:color="auto"/>
        <w:right w:val="none" w:sz="0" w:space="0" w:color="auto"/>
      </w:divBdr>
      <w:divsChild>
        <w:div w:id="647443119">
          <w:marLeft w:val="0"/>
          <w:marRight w:val="0"/>
          <w:marTop w:val="0"/>
          <w:marBottom w:val="0"/>
          <w:divBdr>
            <w:top w:val="none" w:sz="0" w:space="0" w:color="auto"/>
            <w:left w:val="none" w:sz="0" w:space="0" w:color="auto"/>
            <w:bottom w:val="none" w:sz="0" w:space="0" w:color="auto"/>
            <w:right w:val="none" w:sz="0" w:space="0" w:color="auto"/>
          </w:divBdr>
          <w:divsChild>
            <w:div w:id="725644574">
              <w:marLeft w:val="0"/>
              <w:marRight w:val="0"/>
              <w:marTop w:val="930"/>
              <w:marBottom w:val="0"/>
              <w:divBdr>
                <w:top w:val="none" w:sz="0" w:space="0" w:color="auto"/>
                <w:left w:val="none" w:sz="0" w:space="0" w:color="auto"/>
                <w:bottom w:val="none" w:sz="0" w:space="0" w:color="auto"/>
                <w:right w:val="none" w:sz="0" w:space="0" w:color="auto"/>
              </w:divBdr>
              <w:divsChild>
                <w:div w:id="1898003905">
                  <w:marLeft w:val="0"/>
                  <w:marRight w:val="0"/>
                  <w:marTop w:val="0"/>
                  <w:marBottom w:val="0"/>
                  <w:divBdr>
                    <w:top w:val="none" w:sz="0" w:space="0" w:color="auto"/>
                    <w:left w:val="none" w:sz="0" w:space="0" w:color="auto"/>
                    <w:bottom w:val="none" w:sz="0" w:space="0" w:color="auto"/>
                    <w:right w:val="none" w:sz="0" w:space="0" w:color="auto"/>
                  </w:divBdr>
                  <w:divsChild>
                    <w:div w:id="109513221">
                      <w:marLeft w:val="-450"/>
                      <w:marRight w:val="0"/>
                      <w:marTop w:val="0"/>
                      <w:marBottom w:val="0"/>
                      <w:divBdr>
                        <w:top w:val="none" w:sz="0" w:space="0" w:color="auto"/>
                        <w:left w:val="none" w:sz="0" w:space="0" w:color="auto"/>
                        <w:bottom w:val="none" w:sz="0" w:space="0" w:color="auto"/>
                        <w:right w:val="none" w:sz="0" w:space="0" w:color="auto"/>
                      </w:divBdr>
                      <w:divsChild>
                        <w:div w:id="736978821">
                          <w:marLeft w:val="0"/>
                          <w:marRight w:val="0"/>
                          <w:marTop w:val="0"/>
                          <w:marBottom w:val="0"/>
                          <w:divBdr>
                            <w:top w:val="none" w:sz="0" w:space="0" w:color="auto"/>
                            <w:left w:val="none" w:sz="0" w:space="0" w:color="auto"/>
                            <w:bottom w:val="none" w:sz="0" w:space="0" w:color="auto"/>
                            <w:right w:val="none" w:sz="0" w:space="0" w:color="auto"/>
                          </w:divBdr>
                          <w:divsChild>
                            <w:div w:id="100986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519157">
      <w:bodyDiv w:val="1"/>
      <w:marLeft w:val="0"/>
      <w:marRight w:val="0"/>
      <w:marTop w:val="0"/>
      <w:marBottom w:val="0"/>
      <w:divBdr>
        <w:top w:val="none" w:sz="0" w:space="0" w:color="auto"/>
        <w:left w:val="none" w:sz="0" w:space="0" w:color="auto"/>
        <w:bottom w:val="none" w:sz="0" w:space="0" w:color="auto"/>
        <w:right w:val="none" w:sz="0" w:space="0" w:color="auto"/>
      </w:divBdr>
    </w:div>
    <w:div w:id="468476516">
      <w:bodyDiv w:val="1"/>
      <w:marLeft w:val="0"/>
      <w:marRight w:val="0"/>
      <w:marTop w:val="0"/>
      <w:marBottom w:val="0"/>
      <w:divBdr>
        <w:top w:val="none" w:sz="0" w:space="0" w:color="auto"/>
        <w:left w:val="none" w:sz="0" w:space="0" w:color="auto"/>
        <w:bottom w:val="none" w:sz="0" w:space="0" w:color="auto"/>
        <w:right w:val="none" w:sz="0" w:space="0" w:color="auto"/>
      </w:divBdr>
      <w:divsChild>
        <w:div w:id="1619334493">
          <w:marLeft w:val="0"/>
          <w:marRight w:val="0"/>
          <w:marTop w:val="0"/>
          <w:marBottom w:val="0"/>
          <w:divBdr>
            <w:top w:val="none" w:sz="0" w:space="0" w:color="auto"/>
            <w:left w:val="none" w:sz="0" w:space="0" w:color="auto"/>
            <w:bottom w:val="none" w:sz="0" w:space="0" w:color="auto"/>
            <w:right w:val="none" w:sz="0" w:space="0" w:color="auto"/>
          </w:divBdr>
          <w:divsChild>
            <w:div w:id="552539734">
              <w:marLeft w:val="0"/>
              <w:marRight w:val="0"/>
              <w:marTop w:val="930"/>
              <w:marBottom w:val="0"/>
              <w:divBdr>
                <w:top w:val="none" w:sz="0" w:space="0" w:color="auto"/>
                <w:left w:val="none" w:sz="0" w:space="0" w:color="auto"/>
                <w:bottom w:val="none" w:sz="0" w:space="0" w:color="auto"/>
                <w:right w:val="none" w:sz="0" w:space="0" w:color="auto"/>
              </w:divBdr>
              <w:divsChild>
                <w:div w:id="684552311">
                  <w:marLeft w:val="0"/>
                  <w:marRight w:val="0"/>
                  <w:marTop w:val="0"/>
                  <w:marBottom w:val="0"/>
                  <w:divBdr>
                    <w:top w:val="none" w:sz="0" w:space="0" w:color="auto"/>
                    <w:left w:val="none" w:sz="0" w:space="0" w:color="auto"/>
                    <w:bottom w:val="none" w:sz="0" w:space="0" w:color="auto"/>
                    <w:right w:val="none" w:sz="0" w:space="0" w:color="auto"/>
                  </w:divBdr>
                  <w:divsChild>
                    <w:div w:id="831607117">
                      <w:marLeft w:val="-450"/>
                      <w:marRight w:val="0"/>
                      <w:marTop w:val="0"/>
                      <w:marBottom w:val="0"/>
                      <w:divBdr>
                        <w:top w:val="none" w:sz="0" w:space="0" w:color="auto"/>
                        <w:left w:val="none" w:sz="0" w:space="0" w:color="auto"/>
                        <w:bottom w:val="none" w:sz="0" w:space="0" w:color="auto"/>
                        <w:right w:val="none" w:sz="0" w:space="0" w:color="auto"/>
                      </w:divBdr>
                      <w:divsChild>
                        <w:div w:id="538014302">
                          <w:marLeft w:val="0"/>
                          <w:marRight w:val="0"/>
                          <w:marTop w:val="0"/>
                          <w:marBottom w:val="0"/>
                          <w:divBdr>
                            <w:top w:val="none" w:sz="0" w:space="0" w:color="auto"/>
                            <w:left w:val="none" w:sz="0" w:space="0" w:color="auto"/>
                            <w:bottom w:val="none" w:sz="0" w:space="0" w:color="auto"/>
                            <w:right w:val="none" w:sz="0" w:space="0" w:color="auto"/>
                          </w:divBdr>
                          <w:divsChild>
                            <w:div w:id="1546676873">
                              <w:marLeft w:val="0"/>
                              <w:marRight w:val="0"/>
                              <w:marTop w:val="0"/>
                              <w:marBottom w:val="0"/>
                              <w:divBdr>
                                <w:top w:val="none" w:sz="0" w:space="0" w:color="auto"/>
                                <w:left w:val="none" w:sz="0" w:space="0" w:color="auto"/>
                                <w:bottom w:val="none" w:sz="0" w:space="0" w:color="auto"/>
                                <w:right w:val="none" w:sz="0" w:space="0" w:color="auto"/>
                              </w:divBdr>
                              <w:divsChild>
                                <w:div w:id="18195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183341">
      <w:bodyDiv w:val="1"/>
      <w:marLeft w:val="0"/>
      <w:marRight w:val="0"/>
      <w:marTop w:val="0"/>
      <w:marBottom w:val="0"/>
      <w:divBdr>
        <w:top w:val="none" w:sz="0" w:space="0" w:color="auto"/>
        <w:left w:val="none" w:sz="0" w:space="0" w:color="auto"/>
        <w:bottom w:val="none" w:sz="0" w:space="0" w:color="auto"/>
        <w:right w:val="none" w:sz="0" w:space="0" w:color="auto"/>
      </w:divBdr>
    </w:div>
    <w:div w:id="790512737">
      <w:bodyDiv w:val="1"/>
      <w:marLeft w:val="0"/>
      <w:marRight w:val="0"/>
      <w:marTop w:val="0"/>
      <w:marBottom w:val="0"/>
      <w:divBdr>
        <w:top w:val="none" w:sz="0" w:space="0" w:color="auto"/>
        <w:left w:val="none" w:sz="0" w:space="0" w:color="auto"/>
        <w:bottom w:val="none" w:sz="0" w:space="0" w:color="auto"/>
        <w:right w:val="none" w:sz="0" w:space="0" w:color="auto"/>
      </w:divBdr>
      <w:divsChild>
        <w:div w:id="54264002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EAC00131C1F44FBA6D3841A8288189" ma:contentTypeVersion="5" ma:contentTypeDescription="Create a new document." ma:contentTypeScope="" ma:versionID="88b8d96e36f52b21389cf2e0f1933208">
  <xsd:schema xmlns:xsd="http://www.w3.org/2001/XMLSchema" xmlns:p="http://schemas.microsoft.com/office/2006/metadata/properties" xmlns:ns1="http://schemas.microsoft.com/sharepoint/v3" targetNamespace="http://schemas.microsoft.com/office/2006/metadata/properties" ma:root="true" ma:fieldsID="077cc390c4b31e8f3e8f9be4e0ca9078" ns1:_="">
    <xsd:import namespace="http://schemas.microsoft.com/sharepoint/v3"/>
    <xsd:element name="properties">
      <xsd:complexType>
        <xsd:sequence>
          <xsd:element name="documentManagement">
            <xsd:complexType>
              <xsd:all>
                <xsd:element ref="ns1:ImageWidth" minOccurs="0"/>
                <xsd:element ref="ns1:ImageHeight"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9" nillable="true" ma:displayName="Picture Width" ma:internalName="ImageWidth" ma:readOnly="true">
      <xsd:simpleType>
        <xsd:restriction base="dms:Unknown"/>
      </xsd:simpleType>
    </xsd:element>
    <xsd:element name="ImageHeight" ma:index="10" nillable="true" ma:displayName="Picture Height" ma:internalName="ImageHeight" ma:readOnly="true">
      <xsd:simpleType>
        <xsd:restriction base="dms:Unknown"/>
      </xsd:simpleType>
    </xsd:element>
    <xsd:element name="PublishingStartDate" ma:index="12" nillable="true" ma:displayName="Scheduling Start Date" ma:description="" ma:hidden="true" ma:internalName="PublishingStartDate">
      <xsd:simpleType>
        <xsd:restriction base="dms:Unknown"/>
      </xsd:simpleType>
    </xsd:element>
    <xsd:element name="PublishingExpirationDate" ma:index="13"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3819E-090C-4E28-BE40-1202A8478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8CE6DB7-B901-4C6C-A76F-B34D1F0C06F0}">
  <ds:schemaRefs>
    <ds:schemaRef ds:uri="http://schemas.microsoft.com/sharepoint/v3/contenttype/forms"/>
  </ds:schemaRefs>
</ds:datastoreItem>
</file>

<file path=customXml/itemProps3.xml><?xml version="1.0" encoding="utf-8"?>
<ds:datastoreItem xmlns:ds="http://schemas.openxmlformats.org/officeDocument/2006/customXml" ds:itemID="{D0392472-7539-48D9-B896-C25E7159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mdt.com</Company>
  <LinksUpToDate>false</LinksUpToDate>
  <CharactersWithSpaces>14986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Chris</dc:creator>
  <cp:keywords/>
  <cp:lastModifiedBy>Maidment, Gillian</cp:lastModifiedBy>
  <cp:revision>3</cp:revision>
  <cp:lastPrinted>2021-03-30T09:02:00Z</cp:lastPrinted>
  <dcterms:created xsi:type="dcterms:W3CDTF">2021-03-30T09:08:00Z</dcterms:created>
  <dcterms:modified xsi:type="dcterms:W3CDTF">2021-03-30T09:18:00Z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