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D6B" w:rsidRPr="008D3D6B" w:rsidRDefault="008D3D6B" w:rsidP="008D3D6B">
      <w:pPr>
        <w:spacing w:after="0" w:line="240" w:lineRule="auto"/>
        <w:jc w:val="center"/>
        <w:rPr>
          <w:rFonts w:ascii="Arial" w:hAnsi="Arial" w:cs="Arial"/>
          <w:b/>
          <w:sz w:val="28"/>
        </w:rPr>
      </w:pPr>
      <w:r w:rsidRPr="008D3D6B">
        <w:rPr>
          <w:rFonts w:ascii="Arial" w:hAnsi="Arial" w:cs="Arial"/>
          <w:b/>
          <w:sz w:val="28"/>
        </w:rPr>
        <w:t>CONSULTATION AND ENGAGEMENT</w:t>
      </w:r>
      <w:r w:rsidR="00F56977">
        <w:rPr>
          <w:rFonts w:ascii="Arial" w:hAnsi="Arial" w:cs="Arial"/>
          <w:b/>
          <w:sz w:val="28"/>
        </w:rPr>
        <w:t xml:space="preserve"> 2018/19</w:t>
      </w:r>
    </w:p>
    <w:p w:rsidR="008D3D6B" w:rsidRPr="001760C9" w:rsidRDefault="008D3D6B" w:rsidP="008D3D6B">
      <w:pPr>
        <w:spacing w:after="0" w:line="240" w:lineRule="auto"/>
        <w:rPr>
          <w:rFonts w:ascii="Arial" w:hAnsi="Arial" w:cs="Arial"/>
          <w:sz w:val="20"/>
        </w:rPr>
      </w:pPr>
    </w:p>
    <w:p w:rsidR="00333886" w:rsidRPr="001760C9" w:rsidRDefault="00333886" w:rsidP="008D3D6B">
      <w:pPr>
        <w:spacing w:after="0" w:line="240" w:lineRule="auto"/>
        <w:rPr>
          <w:rFonts w:ascii="Arial" w:hAnsi="Arial" w:cs="Arial"/>
          <w:sz w:val="20"/>
        </w:rPr>
      </w:pPr>
    </w:p>
    <w:tbl>
      <w:tblPr>
        <w:tblStyle w:val="TableGrid1"/>
        <w:tblW w:w="14596" w:type="dxa"/>
        <w:tblLook w:val="04A0" w:firstRow="1" w:lastRow="0" w:firstColumn="1" w:lastColumn="0" w:noHBand="0" w:noVBand="1"/>
      </w:tblPr>
      <w:tblGrid>
        <w:gridCol w:w="4815"/>
        <w:gridCol w:w="4961"/>
        <w:gridCol w:w="4820"/>
      </w:tblGrid>
      <w:tr w:rsidR="008D3D6B" w:rsidRPr="00F170A7" w:rsidTr="00CA6A00">
        <w:trPr>
          <w:trHeight w:val="397"/>
        </w:trPr>
        <w:tc>
          <w:tcPr>
            <w:tcW w:w="14596" w:type="dxa"/>
            <w:gridSpan w:val="3"/>
            <w:shd w:val="clear" w:color="auto" w:fill="DBDBDB" w:themeFill="accent3" w:themeFillTint="66"/>
            <w:vAlign w:val="center"/>
          </w:tcPr>
          <w:p w:rsidR="008D3D6B" w:rsidRPr="00F170A7" w:rsidRDefault="008D3D6B" w:rsidP="00E81DB3">
            <w:pPr>
              <w:spacing w:after="0" w:line="240" w:lineRule="auto"/>
              <w:rPr>
                <w:b/>
                <w:sz w:val="24"/>
                <w:szCs w:val="24"/>
              </w:rPr>
            </w:pPr>
            <w:r w:rsidRPr="00F170A7">
              <w:rPr>
                <w:b/>
                <w:sz w:val="24"/>
                <w:szCs w:val="24"/>
              </w:rPr>
              <w:t xml:space="preserve">Supports Business Outcome </w:t>
            </w:r>
            <w:r w:rsidRPr="00F170A7">
              <w:rPr>
                <w:rFonts w:eastAsia="Times New Roman"/>
                <w:b/>
                <w:sz w:val="24"/>
                <w:szCs w:val="24"/>
              </w:rPr>
              <w:t>05 - Information and support are available for everyone</w:t>
            </w:r>
          </w:p>
        </w:tc>
      </w:tr>
      <w:tr w:rsidR="008D3D6B" w:rsidRPr="00F170A7" w:rsidTr="00CA6A00">
        <w:trPr>
          <w:trHeight w:val="397"/>
        </w:trPr>
        <w:tc>
          <w:tcPr>
            <w:tcW w:w="4815" w:type="dxa"/>
            <w:shd w:val="clear" w:color="auto" w:fill="DEEAF6" w:themeFill="accent1" w:themeFillTint="33"/>
            <w:vAlign w:val="center"/>
          </w:tcPr>
          <w:p w:rsidR="008D3D6B" w:rsidRPr="00F170A7" w:rsidRDefault="008D3D6B" w:rsidP="00E81DB3">
            <w:pPr>
              <w:spacing w:after="0" w:line="240" w:lineRule="auto"/>
              <w:rPr>
                <w:sz w:val="24"/>
                <w:szCs w:val="24"/>
              </w:rPr>
            </w:pPr>
            <w:r w:rsidRPr="00F170A7">
              <w:rPr>
                <w:sz w:val="24"/>
                <w:szCs w:val="24"/>
              </w:rPr>
              <w:t>We asked (focus of consultation)</w:t>
            </w:r>
          </w:p>
        </w:tc>
        <w:tc>
          <w:tcPr>
            <w:tcW w:w="4961" w:type="dxa"/>
            <w:shd w:val="clear" w:color="auto" w:fill="DEEAF6" w:themeFill="accent1" w:themeFillTint="33"/>
            <w:vAlign w:val="center"/>
          </w:tcPr>
          <w:p w:rsidR="008D3D6B" w:rsidRPr="00F170A7" w:rsidRDefault="008D3D6B" w:rsidP="00E81DB3">
            <w:pPr>
              <w:spacing w:after="0" w:line="240" w:lineRule="auto"/>
              <w:rPr>
                <w:sz w:val="24"/>
                <w:szCs w:val="24"/>
              </w:rPr>
            </w:pPr>
            <w:r w:rsidRPr="00F170A7">
              <w:rPr>
                <w:sz w:val="24"/>
                <w:szCs w:val="24"/>
              </w:rPr>
              <w:t>You said (customer response)</w:t>
            </w:r>
          </w:p>
        </w:tc>
        <w:tc>
          <w:tcPr>
            <w:tcW w:w="4820" w:type="dxa"/>
            <w:shd w:val="clear" w:color="auto" w:fill="DEEAF6" w:themeFill="accent1" w:themeFillTint="33"/>
            <w:vAlign w:val="center"/>
          </w:tcPr>
          <w:p w:rsidR="008D3D6B" w:rsidRPr="00F170A7" w:rsidRDefault="008D3D6B" w:rsidP="00E81DB3">
            <w:pPr>
              <w:spacing w:after="0" w:line="240" w:lineRule="auto"/>
              <w:rPr>
                <w:sz w:val="24"/>
                <w:szCs w:val="24"/>
              </w:rPr>
            </w:pPr>
            <w:r w:rsidRPr="00F170A7">
              <w:rPr>
                <w:sz w:val="24"/>
                <w:szCs w:val="24"/>
              </w:rPr>
              <w:t>We did (improvement actions)</w:t>
            </w:r>
          </w:p>
        </w:tc>
      </w:tr>
      <w:tr w:rsidR="00F56977" w:rsidRPr="00F170A7" w:rsidTr="00CA6A00">
        <w:trPr>
          <w:trHeight w:val="265"/>
        </w:trPr>
        <w:tc>
          <w:tcPr>
            <w:tcW w:w="4815" w:type="dxa"/>
          </w:tcPr>
          <w:p w:rsidR="00F56977" w:rsidRPr="00F170A7" w:rsidRDefault="00F56977" w:rsidP="00F56977">
            <w:pPr>
              <w:rPr>
                <w:sz w:val="24"/>
                <w:szCs w:val="24"/>
              </w:rPr>
            </w:pPr>
            <w:r w:rsidRPr="00F170A7">
              <w:rPr>
                <w:sz w:val="24"/>
                <w:szCs w:val="24"/>
              </w:rPr>
              <w:t>We asked about your satisfaction with the customer service which we offer</w:t>
            </w:r>
          </w:p>
        </w:tc>
        <w:tc>
          <w:tcPr>
            <w:tcW w:w="4961" w:type="dxa"/>
          </w:tcPr>
          <w:p w:rsidR="00F56977" w:rsidRPr="00F170A7" w:rsidRDefault="00F56977" w:rsidP="00F56977">
            <w:pPr>
              <w:rPr>
                <w:sz w:val="24"/>
                <w:szCs w:val="24"/>
              </w:rPr>
            </w:pPr>
            <w:r w:rsidRPr="00F170A7">
              <w:rPr>
                <w:sz w:val="24"/>
                <w:szCs w:val="24"/>
              </w:rPr>
              <w:t>You said that you would like us to be more proactive in our communications</w:t>
            </w:r>
          </w:p>
        </w:tc>
        <w:tc>
          <w:tcPr>
            <w:tcW w:w="4820" w:type="dxa"/>
          </w:tcPr>
          <w:p w:rsidR="00F56977" w:rsidRPr="00F170A7" w:rsidRDefault="00F56977" w:rsidP="00F56977">
            <w:pPr>
              <w:rPr>
                <w:sz w:val="24"/>
                <w:szCs w:val="24"/>
              </w:rPr>
            </w:pPr>
            <w:r w:rsidRPr="00F170A7">
              <w:rPr>
                <w:sz w:val="24"/>
                <w:szCs w:val="24"/>
              </w:rPr>
              <w:t>We have created a new outreach facility whereby customers can sign up to different types of alerts from the council.</w:t>
            </w:r>
          </w:p>
        </w:tc>
      </w:tr>
      <w:tr w:rsidR="00F56977" w:rsidRPr="00F170A7" w:rsidTr="00CA6A00">
        <w:trPr>
          <w:trHeight w:val="1303"/>
        </w:trPr>
        <w:tc>
          <w:tcPr>
            <w:tcW w:w="4815" w:type="dxa"/>
          </w:tcPr>
          <w:p w:rsidR="00F56977" w:rsidRPr="00F170A7" w:rsidRDefault="00F56977" w:rsidP="00F56977">
            <w:pPr>
              <w:rPr>
                <w:sz w:val="24"/>
                <w:szCs w:val="24"/>
              </w:rPr>
            </w:pPr>
            <w:r w:rsidRPr="00F170A7">
              <w:rPr>
                <w:sz w:val="24"/>
                <w:szCs w:val="24"/>
              </w:rPr>
              <w:t>What would make our website easier to use and more useful</w:t>
            </w:r>
          </w:p>
          <w:p w:rsidR="00F56977" w:rsidRPr="00F170A7" w:rsidRDefault="00F56977" w:rsidP="00F56977">
            <w:pPr>
              <w:rPr>
                <w:sz w:val="24"/>
                <w:szCs w:val="24"/>
              </w:rPr>
            </w:pPr>
          </w:p>
        </w:tc>
        <w:tc>
          <w:tcPr>
            <w:tcW w:w="4961" w:type="dxa"/>
          </w:tcPr>
          <w:p w:rsidR="00F56977" w:rsidRPr="00F170A7" w:rsidRDefault="00F56977" w:rsidP="00F56977">
            <w:pPr>
              <w:rPr>
                <w:sz w:val="24"/>
                <w:szCs w:val="24"/>
              </w:rPr>
            </w:pPr>
            <w:r w:rsidRPr="00F170A7">
              <w:rPr>
                <w:sz w:val="24"/>
                <w:szCs w:val="24"/>
              </w:rPr>
              <w:t>You would like all content to be mobile adaptive as over half of all users access it from mobile devices.  You would like better search facilities, and a single sign up to all online facilities</w:t>
            </w:r>
          </w:p>
        </w:tc>
        <w:tc>
          <w:tcPr>
            <w:tcW w:w="4820" w:type="dxa"/>
          </w:tcPr>
          <w:p w:rsidR="00F56977" w:rsidRPr="00F170A7" w:rsidRDefault="00F56977" w:rsidP="00F56977">
            <w:pPr>
              <w:rPr>
                <w:sz w:val="24"/>
                <w:szCs w:val="24"/>
              </w:rPr>
            </w:pPr>
            <w:r w:rsidRPr="00F170A7">
              <w:rPr>
                <w:sz w:val="24"/>
                <w:szCs w:val="24"/>
              </w:rPr>
              <w:t>We have worked with our third party system suppliers to make their content mobile adaptive.  We have introduced much improved search software.  Our online portals now all use a single authentication mechanism.</w:t>
            </w:r>
          </w:p>
        </w:tc>
      </w:tr>
      <w:tr w:rsidR="00075952" w:rsidRPr="00F170A7" w:rsidTr="00CA6A00">
        <w:trPr>
          <w:trHeight w:val="265"/>
        </w:trPr>
        <w:tc>
          <w:tcPr>
            <w:tcW w:w="4815" w:type="dxa"/>
          </w:tcPr>
          <w:p w:rsidR="00075952" w:rsidRPr="00F170A7" w:rsidRDefault="00075952" w:rsidP="00075952">
            <w:pPr>
              <w:rPr>
                <w:sz w:val="24"/>
                <w:szCs w:val="24"/>
              </w:rPr>
            </w:pPr>
            <w:r w:rsidRPr="00F170A7">
              <w:rPr>
                <w:sz w:val="24"/>
                <w:szCs w:val="24"/>
              </w:rPr>
              <w:t xml:space="preserve">Community Council Annual Survey </w:t>
            </w:r>
          </w:p>
        </w:tc>
        <w:tc>
          <w:tcPr>
            <w:tcW w:w="4961" w:type="dxa"/>
          </w:tcPr>
          <w:p w:rsidR="00075952" w:rsidRPr="00F170A7" w:rsidRDefault="00075952" w:rsidP="00075952">
            <w:pPr>
              <w:rPr>
                <w:sz w:val="24"/>
                <w:szCs w:val="24"/>
              </w:rPr>
            </w:pPr>
            <w:r w:rsidRPr="00F170A7">
              <w:rPr>
                <w:sz w:val="24"/>
                <w:szCs w:val="24"/>
              </w:rPr>
              <w:t xml:space="preserve">Positive Responses about Governance and Law issues remain around other services areas </w:t>
            </w:r>
          </w:p>
        </w:tc>
        <w:tc>
          <w:tcPr>
            <w:tcW w:w="4820" w:type="dxa"/>
          </w:tcPr>
          <w:p w:rsidR="00075952" w:rsidRPr="00F170A7" w:rsidRDefault="00075952" w:rsidP="00075952">
            <w:pPr>
              <w:rPr>
                <w:sz w:val="24"/>
                <w:szCs w:val="24"/>
              </w:rPr>
            </w:pPr>
            <w:r w:rsidRPr="00F170A7">
              <w:rPr>
                <w:sz w:val="24"/>
                <w:szCs w:val="24"/>
              </w:rPr>
              <w:t xml:space="preserve">Report to SMT highlighting positive feedback and issues for further work </w:t>
            </w:r>
          </w:p>
        </w:tc>
      </w:tr>
      <w:tr w:rsidR="00CA6A00" w:rsidRPr="00F170A7" w:rsidTr="00CA6A00">
        <w:trPr>
          <w:trHeight w:val="265"/>
        </w:trPr>
        <w:tc>
          <w:tcPr>
            <w:tcW w:w="4815" w:type="dxa"/>
          </w:tcPr>
          <w:p w:rsidR="00CA6A00" w:rsidRPr="00F170A7" w:rsidRDefault="00CA6A00" w:rsidP="005A3C44">
            <w:pPr>
              <w:rPr>
                <w:sz w:val="24"/>
                <w:szCs w:val="24"/>
              </w:rPr>
            </w:pPr>
            <w:r w:rsidRPr="00F170A7">
              <w:rPr>
                <w:sz w:val="24"/>
                <w:szCs w:val="24"/>
              </w:rPr>
              <w:t xml:space="preserve">The Council and local MSA partners identified substantial issues in relation to the financing and payment triggers within the project. </w:t>
            </w:r>
          </w:p>
          <w:p w:rsidR="00CA6A00" w:rsidRPr="00F170A7" w:rsidRDefault="00CA6A00" w:rsidP="005A3C44">
            <w:pPr>
              <w:rPr>
                <w:sz w:val="24"/>
                <w:szCs w:val="24"/>
              </w:rPr>
            </w:pPr>
          </w:p>
        </w:tc>
        <w:tc>
          <w:tcPr>
            <w:tcW w:w="4961" w:type="dxa"/>
          </w:tcPr>
          <w:p w:rsidR="00CA6A00" w:rsidRPr="00F170A7" w:rsidRDefault="00CA6A00" w:rsidP="005A3C44">
            <w:pPr>
              <w:rPr>
                <w:sz w:val="24"/>
                <w:szCs w:val="24"/>
              </w:rPr>
            </w:pPr>
            <w:r w:rsidRPr="00F170A7">
              <w:rPr>
                <w:sz w:val="24"/>
                <w:szCs w:val="24"/>
              </w:rPr>
              <w:t xml:space="preserve">Partners highlighted the financial difficulties they were experiencing as a result of inadequate funding and that this was further compounded by the volatile and unpredictable nature of the payment values. </w:t>
            </w:r>
          </w:p>
        </w:tc>
        <w:tc>
          <w:tcPr>
            <w:tcW w:w="4820" w:type="dxa"/>
          </w:tcPr>
          <w:p w:rsidR="00CA6A00" w:rsidRPr="00F170A7" w:rsidRDefault="00CA6A00" w:rsidP="005A3C44">
            <w:pPr>
              <w:rPr>
                <w:sz w:val="24"/>
                <w:szCs w:val="24"/>
              </w:rPr>
            </w:pPr>
            <w:r w:rsidRPr="00F170A7">
              <w:rPr>
                <w:sz w:val="24"/>
                <w:szCs w:val="24"/>
              </w:rPr>
              <w:t>We worked collaboratively with partners to develop a revised financial model which included revised charge rates for services designed to fully recompense partners for the costs they were incurring and a simpler and more predictable payment mechanism which used set fees for work done. The proposal was submitted to and subsequently agreed with the Big Lottery Fund and Scottish Government and was implemented retrospectively with partners paid additional sums for work done since the commencement of services in July 2017.</w:t>
            </w:r>
          </w:p>
        </w:tc>
      </w:tr>
    </w:tbl>
    <w:p w:rsidR="008D3D6B" w:rsidRDefault="008D3D6B" w:rsidP="008D3D6B">
      <w:pPr>
        <w:spacing w:after="0" w:line="240" w:lineRule="auto"/>
        <w:rPr>
          <w:rFonts w:ascii="Arial" w:hAnsi="Arial" w:cs="Arial"/>
          <w:sz w:val="20"/>
        </w:rPr>
      </w:pPr>
    </w:p>
    <w:p w:rsidR="00075952" w:rsidRDefault="00075952" w:rsidP="008D3D6B">
      <w:pPr>
        <w:spacing w:after="0" w:line="240" w:lineRule="auto"/>
        <w:rPr>
          <w:rFonts w:ascii="Arial" w:hAnsi="Arial" w:cs="Arial"/>
          <w:sz w:val="20"/>
        </w:rPr>
      </w:pPr>
    </w:p>
    <w:tbl>
      <w:tblPr>
        <w:tblStyle w:val="TableGrid1"/>
        <w:tblW w:w="14596" w:type="dxa"/>
        <w:tblLook w:val="04A0" w:firstRow="1" w:lastRow="0" w:firstColumn="1" w:lastColumn="0" w:noHBand="0" w:noVBand="1"/>
      </w:tblPr>
      <w:tblGrid>
        <w:gridCol w:w="4815"/>
        <w:gridCol w:w="4961"/>
        <w:gridCol w:w="4820"/>
      </w:tblGrid>
      <w:tr w:rsidR="00075952" w:rsidRPr="00F170A7" w:rsidTr="009652AC">
        <w:trPr>
          <w:trHeight w:val="397"/>
        </w:trPr>
        <w:tc>
          <w:tcPr>
            <w:tcW w:w="14596" w:type="dxa"/>
            <w:gridSpan w:val="3"/>
            <w:shd w:val="clear" w:color="auto" w:fill="DBDBDB" w:themeFill="accent3" w:themeFillTint="66"/>
            <w:vAlign w:val="center"/>
          </w:tcPr>
          <w:p w:rsidR="00075952" w:rsidRPr="00F170A7" w:rsidRDefault="00075952" w:rsidP="00075952">
            <w:pPr>
              <w:spacing w:after="0" w:line="240" w:lineRule="auto"/>
              <w:rPr>
                <w:b/>
                <w:sz w:val="24"/>
                <w:szCs w:val="24"/>
              </w:rPr>
            </w:pPr>
            <w:r w:rsidRPr="00F170A7">
              <w:rPr>
                <w:b/>
                <w:sz w:val="24"/>
                <w:szCs w:val="24"/>
              </w:rPr>
              <w:t>Supports Business Outcomes 09 – Our assets are safe, efficient and fit for purpose</w:t>
            </w:r>
          </w:p>
        </w:tc>
      </w:tr>
      <w:tr w:rsidR="00075952" w:rsidRPr="00F170A7" w:rsidTr="009652AC">
        <w:trPr>
          <w:trHeight w:val="397"/>
        </w:trPr>
        <w:tc>
          <w:tcPr>
            <w:tcW w:w="4815" w:type="dxa"/>
            <w:shd w:val="clear" w:color="auto" w:fill="DEEAF6" w:themeFill="accent1" w:themeFillTint="33"/>
            <w:vAlign w:val="center"/>
          </w:tcPr>
          <w:p w:rsidR="00075952" w:rsidRPr="00F170A7" w:rsidRDefault="00075952" w:rsidP="009652AC">
            <w:pPr>
              <w:spacing w:after="0" w:line="240" w:lineRule="auto"/>
              <w:rPr>
                <w:sz w:val="24"/>
                <w:szCs w:val="24"/>
              </w:rPr>
            </w:pPr>
            <w:r w:rsidRPr="00F170A7">
              <w:rPr>
                <w:sz w:val="24"/>
                <w:szCs w:val="24"/>
              </w:rPr>
              <w:t>We asked (focus of consultation)</w:t>
            </w:r>
          </w:p>
        </w:tc>
        <w:tc>
          <w:tcPr>
            <w:tcW w:w="4961" w:type="dxa"/>
            <w:shd w:val="clear" w:color="auto" w:fill="DEEAF6" w:themeFill="accent1" w:themeFillTint="33"/>
            <w:vAlign w:val="center"/>
          </w:tcPr>
          <w:p w:rsidR="00075952" w:rsidRPr="00F170A7" w:rsidRDefault="00075952" w:rsidP="009652AC">
            <w:pPr>
              <w:spacing w:after="0" w:line="240" w:lineRule="auto"/>
              <w:rPr>
                <w:sz w:val="24"/>
                <w:szCs w:val="24"/>
              </w:rPr>
            </w:pPr>
            <w:r w:rsidRPr="00F170A7">
              <w:rPr>
                <w:sz w:val="24"/>
                <w:szCs w:val="24"/>
              </w:rPr>
              <w:t>You said (customer response)</w:t>
            </w:r>
          </w:p>
        </w:tc>
        <w:tc>
          <w:tcPr>
            <w:tcW w:w="4820" w:type="dxa"/>
            <w:shd w:val="clear" w:color="auto" w:fill="DEEAF6" w:themeFill="accent1" w:themeFillTint="33"/>
            <w:vAlign w:val="center"/>
          </w:tcPr>
          <w:p w:rsidR="00075952" w:rsidRPr="00F170A7" w:rsidRDefault="00075952" w:rsidP="009652AC">
            <w:pPr>
              <w:spacing w:after="0" w:line="240" w:lineRule="auto"/>
              <w:rPr>
                <w:sz w:val="24"/>
                <w:szCs w:val="24"/>
              </w:rPr>
            </w:pPr>
            <w:r w:rsidRPr="00F170A7">
              <w:rPr>
                <w:sz w:val="24"/>
                <w:szCs w:val="24"/>
              </w:rPr>
              <w:t>We did (improvement actions)</w:t>
            </w:r>
          </w:p>
        </w:tc>
      </w:tr>
      <w:tr w:rsidR="00075952" w:rsidRPr="00F170A7" w:rsidTr="009652AC">
        <w:trPr>
          <w:trHeight w:val="265"/>
        </w:trPr>
        <w:tc>
          <w:tcPr>
            <w:tcW w:w="4815" w:type="dxa"/>
            <w:tcBorders>
              <w:bottom w:val="single" w:sz="4" w:space="0" w:color="000000"/>
            </w:tcBorders>
          </w:tcPr>
          <w:p w:rsidR="00075952" w:rsidRPr="00F170A7" w:rsidRDefault="00075952" w:rsidP="00075952">
            <w:pPr>
              <w:rPr>
                <w:sz w:val="24"/>
                <w:szCs w:val="24"/>
              </w:rPr>
            </w:pPr>
            <w:r w:rsidRPr="00F170A7">
              <w:rPr>
                <w:sz w:val="24"/>
                <w:szCs w:val="24"/>
              </w:rPr>
              <w:t>Request for a review of bus shelter locations in Port Ellen from the community</w:t>
            </w:r>
          </w:p>
        </w:tc>
        <w:tc>
          <w:tcPr>
            <w:tcW w:w="4961" w:type="dxa"/>
            <w:tcBorders>
              <w:bottom w:val="single" w:sz="4" w:space="0" w:color="000000"/>
            </w:tcBorders>
          </w:tcPr>
          <w:p w:rsidR="00075952" w:rsidRPr="00F170A7" w:rsidRDefault="00075952" w:rsidP="00075952">
            <w:pPr>
              <w:rPr>
                <w:sz w:val="24"/>
                <w:szCs w:val="24"/>
              </w:rPr>
            </w:pPr>
            <w:r w:rsidRPr="00F170A7">
              <w:rPr>
                <w:sz w:val="24"/>
                <w:szCs w:val="24"/>
              </w:rPr>
              <w:t>Consultation took place with local residents via community council and through local transport forum.  Results fed back to Integrated Transport Team.</w:t>
            </w:r>
          </w:p>
        </w:tc>
        <w:tc>
          <w:tcPr>
            <w:tcW w:w="4820" w:type="dxa"/>
            <w:tcBorders>
              <w:bottom w:val="single" w:sz="4" w:space="0" w:color="000000"/>
            </w:tcBorders>
          </w:tcPr>
          <w:p w:rsidR="00075952" w:rsidRPr="00F170A7" w:rsidRDefault="00075952" w:rsidP="00075952">
            <w:pPr>
              <w:rPr>
                <w:sz w:val="24"/>
                <w:szCs w:val="24"/>
              </w:rPr>
            </w:pPr>
            <w:r w:rsidRPr="00F170A7">
              <w:rPr>
                <w:sz w:val="24"/>
                <w:szCs w:val="24"/>
              </w:rPr>
              <w:t>Analysed options, identified solution, installed new bus shelter.</w:t>
            </w:r>
          </w:p>
        </w:tc>
      </w:tr>
    </w:tbl>
    <w:p w:rsidR="00075952" w:rsidRPr="001760C9" w:rsidRDefault="00075952" w:rsidP="008D3D6B">
      <w:pPr>
        <w:spacing w:after="0" w:line="240" w:lineRule="auto"/>
        <w:rPr>
          <w:rFonts w:ascii="Arial" w:hAnsi="Arial" w:cs="Arial"/>
          <w:sz w:val="20"/>
        </w:rPr>
      </w:pPr>
    </w:p>
    <w:p w:rsidR="008D3D6B" w:rsidRPr="001760C9" w:rsidRDefault="008D3D6B" w:rsidP="008D3D6B">
      <w:pPr>
        <w:spacing w:after="0" w:line="240" w:lineRule="auto"/>
        <w:rPr>
          <w:rFonts w:ascii="Arial" w:hAnsi="Arial" w:cs="Arial"/>
          <w:sz w:val="20"/>
        </w:rPr>
      </w:pPr>
    </w:p>
    <w:p w:rsidR="00333886" w:rsidRPr="001760C9" w:rsidRDefault="00333886" w:rsidP="008D3D6B">
      <w:pPr>
        <w:spacing w:after="0" w:line="240" w:lineRule="auto"/>
        <w:rPr>
          <w:rFonts w:ascii="Arial" w:hAnsi="Arial" w:cs="Arial"/>
          <w:sz w:val="20"/>
        </w:rPr>
      </w:pPr>
    </w:p>
    <w:tbl>
      <w:tblPr>
        <w:tblStyle w:val="TableGrid1"/>
        <w:tblW w:w="14596" w:type="dxa"/>
        <w:tblLook w:val="04A0" w:firstRow="1" w:lastRow="0" w:firstColumn="1" w:lastColumn="0" w:noHBand="0" w:noVBand="1"/>
      </w:tblPr>
      <w:tblGrid>
        <w:gridCol w:w="4789"/>
        <w:gridCol w:w="4789"/>
        <w:gridCol w:w="5018"/>
      </w:tblGrid>
      <w:tr w:rsidR="00333886" w:rsidRPr="00F170A7" w:rsidTr="00333886">
        <w:trPr>
          <w:trHeight w:val="397"/>
        </w:trPr>
        <w:tc>
          <w:tcPr>
            <w:tcW w:w="14596" w:type="dxa"/>
            <w:gridSpan w:val="3"/>
            <w:shd w:val="clear" w:color="auto" w:fill="DBDBDB" w:themeFill="accent3" w:themeFillTint="66"/>
            <w:vAlign w:val="center"/>
          </w:tcPr>
          <w:p w:rsidR="00333886" w:rsidRPr="00F170A7" w:rsidRDefault="00333886" w:rsidP="00E81DB3">
            <w:pPr>
              <w:spacing w:after="0" w:line="240" w:lineRule="auto"/>
              <w:rPr>
                <w:b/>
                <w:sz w:val="24"/>
                <w:szCs w:val="24"/>
              </w:rPr>
            </w:pPr>
            <w:r w:rsidRPr="00F170A7">
              <w:rPr>
                <w:b/>
                <w:sz w:val="24"/>
                <w:szCs w:val="24"/>
              </w:rPr>
              <w:t>Supports Business Outcome 14 - Our transport infrastructure is safe and fit for purpose</w:t>
            </w:r>
          </w:p>
        </w:tc>
      </w:tr>
      <w:tr w:rsidR="00333886" w:rsidRPr="00F170A7" w:rsidTr="001760C9">
        <w:trPr>
          <w:trHeight w:val="397"/>
        </w:trPr>
        <w:tc>
          <w:tcPr>
            <w:tcW w:w="4789" w:type="dxa"/>
            <w:shd w:val="clear" w:color="auto" w:fill="DEEAF6" w:themeFill="accent1" w:themeFillTint="33"/>
            <w:vAlign w:val="center"/>
          </w:tcPr>
          <w:p w:rsidR="00333886" w:rsidRPr="00F170A7" w:rsidRDefault="00333886" w:rsidP="00E81DB3">
            <w:pPr>
              <w:spacing w:after="0" w:line="240" w:lineRule="auto"/>
              <w:rPr>
                <w:sz w:val="24"/>
                <w:szCs w:val="24"/>
              </w:rPr>
            </w:pPr>
            <w:r w:rsidRPr="00F170A7">
              <w:rPr>
                <w:sz w:val="24"/>
                <w:szCs w:val="24"/>
              </w:rPr>
              <w:t>We asked (focus of consultation)</w:t>
            </w:r>
          </w:p>
        </w:tc>
        <w:tc>
          <w:tcPr>
            <w:tcW w:w="4789" w:type="dxa"/>
            <w:shd w:val="clear" w:color="auto" w:fill="DEEAF6" w:themeFill="accent1" w:themeFillTint="33"/>
            <w:vAlign w:val="center"/>
          </w:tcPr>
          <w:p w:rsidR="00333886" w:rsidRPr="00F170A7" w:rsidRDefault="00333886" w:rsidP="00813F37">
            <w:pPr>
              <w:spacing w:after="0" w:line="240" w:lineRule="auto"/>
              <w:rPr>
                <w:sz w:val="24"/>
                <w:szCs w:val="24"/>
              </w:rPr>
            </w:pPr>
            <w:r w:rsidRPr="00F170A7">
              <w:rPr>
                <w:sz w:val="24"/>
                <w:szCs w:val="24"/>
              </w:rPr>
              <w:t>Yo</w:t>
            </w:r>
            <w:r w:rsidR="00813F37" w:rsidRPr="00F170A7">
              <w:rPr>
                <w:sz w:val="24"/>
                <w:szCs w:val="24"/>
              </w:rPr>
              <w:t>u</w:t>
            </w:r>
            <w:r w:rsidRPr="00F170A7">
              <w:rPr>
                <w:sz w:val="24"/>
                <w:szCs w:val="24"/>
              </w:rPr>
              <w:t xml:space="preserve"> said (customer response)</w:t>
            </w:r>
          </w:p>
        </w:tc>
        <w:tc>
          <w:tcPr>
            <w:tcW w:w="5018" w:type="dxa"/>
            <w:shd w:val="clear" w:color="auto" w:fill="DEEAF6" w:themeFill="accent1" w:themeFillTint="33"/>
            <w:vAlign w:val="center"/>
          </w:tcPr>
          <w:p w:rsidR="00333886" w:rsidRPr="00F170A7" w:rsidRDefault="00333886" w:rsidP="00E81DB3">
            <w:pPr>
              <w:spacing w:after="0" w:line="240" w:lineRule="auto"/>
              <w:rPr>
                <w:sz w:val="24"/>
                <w:szCs w:val="24"/>
              </w:rPr>
            </w:pPr>
            <w:r w:rsidRPr="00F170A7">
              <w:rPr>
                <w:sz w:val="24"/>
                <w:szCs w:val="24"/>
              </w:rPr>
              <w:t>We did (improvement actions)</w:t>
            </w:r>
          </w:p>
        </w:tc>
      </w:tr>
      <w:tr w:rsidR="00302F4A" w:rsidRPr="00F170A7" w:rsidTr="00E81DB3">
        <w:trPr>
          <w:trHeight w:val="265"/>
        </w:trPr>
        <w:tc>
          <w:tcPr>
            <w:tcW w:w="4789" w:type="dxa"/>
          </w:tcPr>
          <w:p w:rsidR="00302F4A" w:rsidRPr="00F170A7" w:rsidRDefault="00302F4A" w:rsidP="00302F4A">
            <w:pPr>
              <w:rPr>
                <w:sz w:val="24"/>
                <w:szCs w:val="24"/>
              </w:rPr>
            </w:pPr>
            <w:r w:rsidRPr="00F170A7">
              <w:rPr>
                <w:sz w:val="24"/>
                <w:szCs w:val="24"/>
              </w:rPr>
              <w:t xml:space="preserve">Community engagement is an ongoing component of the flood studies being progressed for Oban, Tarbert, Lochgilphead, Helensburgh, and Clachan.  Public consultation events have been held for each, pitched at the appropriate level based on the study scope. </w:t>
            </w:r>
          </w:p>
        </w:tc>
        <w:tc>
          <w:tcPr>
            <w:tcW w:w="4789" w:type="dxa"/>
          </w:tcPr>
          <w:p w:rsidR="00302F4A" w:rsidRPr="00F170A7" w:rsidRDefault="00302F4A" w:rsidP="00302F4A">
            <w:pPr>
              <w:rPr>
                <w:sz w:val="24"/>
                <w:szCs w:val="24"/>
              </w:rPr>
            </w:pPr>
            <w:r w:rsidRPr="00F170A7">
              <w:rPr>
                <w:sz w:val="24"/>
                <w:szCs w:val="24"/>
              </w:rPr>
              <w:t>Ongoing engagement with external stakeholders such as SEPA and Scottish Forestry together with public responses have proved beneficial in the development and focus areas of flood studies.</w:t>
            </w:r>
          </w:p>
        </w:tc>
        <w:tc>
          <w:tcPr>
            <w:tcW w:w="5018" w:type="dxa"/>
          </w:tcPr>
          <w:p w:rsidR="00302F4A" w:rsidRPr="00F170A7" w:rsidRDefault="00302F4A" w:rsidP="00302F4A">
            <w:pPr>
              <w:rPr>
                <w:sz w:val="24"/>
                <w:szCs w:val="24"/>
              </w:rPr>
            </w:pPr>
            <w:r w:rsidRPr="00F170A7">
              <w:rPr>
                <w:sz w:val="24"/>
                <w:szCs w:val="24"/>
              </w:rPr>
              <w:t>The studies will lead to a formal documented list of flood studies and costed solutions for areas specific parts of the council area.  Those that finish high enough up the national list of prioritised schemes will receive 80% funding from the Scottish Government for the second round of Local Flood Risk Management Plans starting in 2022 running to 2028.</w:t>
            </w:r>
          </w:p>
        </w:tc>
      </w:tr>
      <w:tr w:rsidR="00302F4A" w:rsidRPr="00F170A7" w:rsidTr="00E81DB3">
        <w:trPr>
          <w:trHeight w:val="265"/>
        </w:trPr>
        <w:tc>
          <w:tcPr>
            <w:tcW w:w="4789" w:type="dxa"/>
          </w:tcPr>
          <w:p w:rsidR="00302F4A" w:rsidRPr="00F170A7" w:rsidRDefault="00302F4A" w:rsidP="00302F4A">
            <w:pPr>
              <w:rPr>
                <w:sz w:val="24"/>
                <w:szCs w:val="24"/>
              </w:rPr>
            </w:pPr>
            <w:r w:rsidRPr="00F170A7">
              <w:rPr>
                <w:sz w:val="24"/>
                <w:szCs w:val="24"/>
              </w:rPr>
              <w:t>We engage with Harbour user Groups across the area to see if there are ways we can improve our marine service</w:t>
            </w:r>
          </w:p>
        </w:tc>
        <w:tc>
          <w:tcPr>
            <w:tcW w:w="4789" w:type="dxa"/>
          </w:tcPr>
          <w:p w:rsidR="00302F4A" w:rsidRPr="00F170A7" w:rsidRDefault="00302F4A" w:rsidP="00302F4A">
            <w:pPr>
              <w:rPr>
                <w:sz w:val="24"/>
                <w:szCs w:val="24"/>
              </w:rPr>
            </w:pPr>
            <w:r w:rsidRPr="00F170A7">
              <w:rPr>
                <w:sz w:val="24"/>
                <w:szCs w:val="24"/>
              </w:rPr>
              <w:t>The User Group on Coll highlighted some issues with the Middle Pier</w:t>
            </w:r>
          </w:p>
        </w:tc>
        <w:tc>
          <w:tcPr>
            <w:tcW w:w="5018" w:type="dxa"/>
          </w:tcPr>
          <w:p w:rsidR="00302F4A" w:rsidRPr="00F170A7" w:rsidRDefault="00302F4A" w:rsidP="00302F4A">
            <w:pPr>
              <w:rPr>
                <w:sz w:val="24"/>
                <w:szCs w:val="24"/>
              </w:rPr>
            </w:pPr>
            <w:r w:rsidRPr="00F170A7">
              <w:rPr>
                <w:sz w:val="24"/>
                <w:szCs w:val="24"/>
              </w:rPr>
              <w:t>We are now working positively with the Group to make improvements to the Pier in partnership.  The local community council at Arinagour may offer their services for step cleaning at the pier; if the community council agrees, training and equipment will be provided by the Council.</w:t>
            </w:r>
          </w:p>
        </w:tc>
      </w:tr>
    </w:tbl>
    <w:p w:rsidR="00302F4A" w:rsidRDefault="00302F4A"/>
    <w:p w:rsidR="00F170A7" w:rsidRDefault="00F170A7"/>
    <w:tbl>
      <w:tblPr>
        <w:tblStyle w:val="TableGrid1"/>
        <w:tblW w:w="14596" w:type="dxa"/>
        <w:tblLook w:val="04A0" w:firstRow="1" w:lastRow="0" w:firstColumn="1" w:lastColumn="0" w:noHBand="0" w:noVBand="1"/>
      </w:tblPr>
      <w:tblGrid>
        <w:gridCol w:w="4815"/>
        <w:gridCol w:w="4961"/>
        <w:gridCol w:w="4820"/>
      </w:tblGrid>
      <w:tr w:rsidR="00302F4A" w:rsidRPr="00F170A7" w:rsidTr="0045214B">
        <w:trPr>
          <w:trHeight w:val="397"/>
        </w:trPr>
        <w:tc>
          <w:tcPr>
            <w:tcW w:w="14596" w:type="dxa"/>
            <w:gridSpan w:val="3"/>
            <w:shd w:val="clear" w:color="auto" w:fill="DBDBDB" w:themeFill="accent3" w:themeFillTint="66"/>
            <w:vAlign w:val="center"/>
          </w:tcPr>
          <w:p w:rsidR="00302F4A" w:rsidRPr="00F170A7" w:rsidRDefault="00302F4A" w:rsidP="0045214B">
            <w:pPr>
              <w:spacing w:after="0" w:line="240" w:lineRule="auto"/>
              <w:rPr>
                <w:b/>
                <w:sz w:val="24"/>
                <w:szCs w:val="24"/>
              </w:rPr>
            </w:pPr>
            <w:r w:rsidRPr="00F170A7">
              <w:rPr>
                <w:b/>
                <w:sz w:val="24"/>
                <w:szCs w:val="24"/>
              </w:rPr>
              <w:lastRenderedPageBreak/>
              <w:t>Business Outcome 15 - Argyll and Bute is open for business</w:t>
            </w:r>
          </w:p>
        </w:tc>
      </w:tr>
      <w:tr w:rsidR="00302F4A" w:rsidRPr="00F170A7" w:rsidTr="0045214B">
        <w:trPr>
          <w:trHeight w:val="397"/>
        </w:trPr>
        <w:tc>
          <w:tcPr>
            <w:tcW w:w="4815" w:type="dxa"/>
            <w:shd w:val="clear" w:color="auto" w:fill="DEEAF6" w:themeFill="accent1" w:themeFillTint="33"/>
            <w:vAlign w:val="center"/>
          </w:tcPr>
          <w:p w:rsidR="00302F4A" w:rsidRPr="00F170A7" w:rsidRDefault="00302F4A" w:rsidP="0045214B">
            <w:pPr>
              <w:spacing w:after="0" w:line="240" w:lineRule="auto"/>
              <w:rPr>
                <w:sz w:val="24"/>
                <w:szCs w:val="24"/>
              </w:rPr>
            </w:pPr>
            <w:r w:rsidRPr="00F170A7">
              <w:rPr>
                <w:sz w:val="24"/>
                <w:szCs w:val="24"/>
              </w:rPr>
              <w:t>We asked (focus of consultation)</w:t>
            </w:r>
          </w:p>
        </w:tc>
        <w:tc>
          <w:tcPr>
            <w:tcW w:w="4961" w:type="dxa"/>
            <w:shd w:val="clear" w:color="auto" w:fill="DEEAF6" w:themeFill="accent1" w:themeFillTint="33"/>
            <w:vAlign w:val="center"/>
          </w:tcPr>
          <w:p w:rsidR="00302F4A" w:rsidRPr="00F170A7" w:rsidRDefault="00302F4A" w:rsidP="0045214B">
            <w:pPr>
              <w:spacing w:after="0" w:line="240" w:lineRule="auto"/>
              <w:rPr>
                <w:sz w:val="24"/>
                <w:szCs w:val="24"/>
              </w:rPr>
            </w:pPr>
            <w:r w:rsidRPr="00F170A7">
              <w:rPr>
                <w:sz w:val="24"/>
                <w:szCs w:val="24"/>
              </w:rPr>
              <w:t>You said (customer response)</w:t>
            </w:r>
          </w:p>
        </w:tc>
        <w:tc>
          <w:tcPr>
            <w:tcW w:w="4820" w:type="dxa"/>
            <w:shd w:val="clear" w:color="auto" w:fill="DEEAF6" w:themeFill="accent1" w:themeFillTint="33"/>
            <w:vAlign w:val="center"/>
          </w:tcPr>
          <w:p w:rsidR="00302F4A" w:rsidRPr="00F170A7" w:rsidRDefault="00302F4A" w:rsidP="0045214B">
            <w:pPr>
              <w:spacing w:after="0" w:line="240" w:lineRule="auto"/>
              <w:rPr>
                <w:sz w:val="24"/>
                <w:szCs w:val="24"/>
              </w:rPr>
            </w:pPr>
            <w:r w:rsidRPr="00F170A7">
              <w:rPr>
                <w:sz w:val="24"/>
                <w:szCs w:val="24"/>
              </w:rPr>
              <w:t>We did (improvement actions)</w:t>
            </w:r>
          </w:p>
        </w:tc>
      </w:tr>
      <w:tr w:rsidR="00302F4A" w:rsidRPr="00F170A7" w:rsidTr="0045214B">
        <w:trPr>
          <w:trHeight w:val="265"/>
        </w:trPr>
        <w:tc>
          <w:tcPr>
            <w:tcW w:w="4815" w:type="dxa"/>
          </w:tcPr>
          <w:p w:rsidR="00302F4A" w:rsidRPr="00F170A7" w:rsidRDefault="00302F4A" w:rsidP="0045214B">
            <w:pPr>
              <w:rPr>
                <w:sz w:val="24"/>
                <w:szCs w:val="24"/>
                <w:lang w:eastAsia="uk-UA"/>
              </w:rPr>
            </w:pPr>
            <w:r w:rsidRPr="00F170A7">
              <w:rPr>
                <w:sz w:val="24"/>
                <w:szCs w:val="24"/>
              </w:rPr>
              <w:t>We commissioned a survey to determine the current skills gaps and workforce requirements, over the next three years, for the food &amp; drink and tourism industries within Argyll and Bute.</w:t>
            </w:r>
          </w:p>
        </w:tc>
        <w:tc>
          <w:tcPr>
            <w:tcW w:w="4961" w:type="dxa"/>
          </w:tcPr>
          <w:p w:rsidR="00302F4A" w:rsidRPr="00F170A7" w:rsidRDefault="00302F4A" w:rsidP="0045214B">
            <w:pPr>
              <w:rPr>
                <w:sz w:val="24"/>
                <w:szCs w:val="24"/>
              </w:rPr>
            </w:pPr>
            <w:r w:rsidRPr="00F170A7">
              <w:rPr>
                <w:sz w:val="24"/>
                <w:szCs w:val="24"/>
              </w:rPr>
              <w:t>In total, 219 businesses contributed to the quantitative part of the survey. Of these, 191 were classified as being in the “tourism” sector and 28 as being in the “food and drink” sector. This is broadly representative of the profile of the initial database identified. An additional 9 in-depth interviews were conducted of which 5 were in the tourism sector and 4 in the food and drink sector.</w:t>
            </w:r>
          </w:p>
        </w:tc>
        <w:tc>
          <w:tcPr>
            <w:tcW w:w="4820" w:type="dxa"/>
          </w:tcPr>
          <w:p w:rsidR="00302F4A" w:rsidRPr="00F170A7" w:rsidRDefault="00302F4A" w:rsidP="0045214B">
            <w:pPr>
              <w:rPr>
                <w:sz w:val="24"/>
                <w:szCs w:val="24"/>
              </w:rPr>
            </w:pPr>
            <w:r w:rsidRPr="00F170A7">
              <w:rPr>
                <w:sz w:val="24"/>
                <w:szCs w:val="24"/>
              </w:rPr>
              <w:t>Completion of the Workforce Survey for the Tourism and Food &amp; Drink Sectors, January 2019</w:t>
            </w:r>
          </w:p>
        </w:tc>
      </w:tr>
    </w:tbl>
    <w:p w:rsidR="00F170A7" w:rsidRPr="001760C9" w:rsidRDefault="00F170A7" w:rsidP="008D3D6B">
      <w:pPr>
        <w:spacing w:after="0" w:line="240" w:lineRule="auto"/>
        <w:rPr>
          <w:rFonts w:ascii="Arial" w:hAnsi="Arial" w:cs="Arial"/>
          <w:sz w:val="20"/>
        </w:rPr>
        <w:sectPr w:rsidR="00F170A7" w:rsidRPr="001760C9" w:rsidSect="00A22CEA">
          <w:pgSz w:w="16838" w:h="11906" w:orient="landscape" w:code="9"/>
          <w:pgMar w:top="851" w:right="1134" w:bottom="851" w:left="1134" w:header="709" w:footer="709" w:gutter="0"/>
          <w:cols w:space="708"/>
          <w:docGrid w:linePitch="360"/>
        </w:sectPr>
      </w:pPr>
    </w:p>
    <w:p w:rsidR="00302F4A" w:rsidRDefault="00302F4A" w:rsidP="00302F4A">
      <w:pPr>
        <w:spacing w:after="0" w:line="240" w:lineRule="auto"/>
        <w:rPr>
          <w:rFonts w:ascii="Arial" w:hAnsi="Arial" w:cs="Arial"/>
          <w:sz w:val="20"/>
        </w:rPr>
      </w:pPr>
    </w:p>
    <w:tbl>
      <w:tblPr>
        <w:tblStyle w:val="TableGrid1"/>
        <w:tblW w:w="0" w:type="auto"/>
        <w:tblLook w:val="04A0" w:firstRow="1" w:lastRow="0" w:firstColumn="1" w:lastColumn="0" w:noHBand="0" w:noVBand="1"/>
      </w:tblPr>
      <w:tblGrid>
        <w:gridCol w:w="4815"/>
        <w:gridCol w:w="4961"/>
        <w:gridCol w:w="4678"/>
      </w:tblGrid>
      <w:tr w:rsidR="00302F4A" w:rsidRPr="00F170A7" w:rsidTr="0032227E">
        <w:trPr>
          <w:trHeight w:val="397"/>
        </w:trPr>
        <w:tc>
          <w:tcPr>
            <w:tcW w:w="14454" w:type="dxa"/>
            <w:gridSpan w:val="3"/>
            <w:shd w:val="clear" w:color="auto" w:fill="DBDBDB" w:themeFill="accent3" w:themeFillTint="66"/>
            <w:vAlign w:val="center"/>
          </w:tcPr>
          <w:p w:rsidR="00302F4A" w:rsidRPr="00F170A7" w:rsidRDefault="00302F4A" w:rsidP="0032227E">
            <w:pPr>
              <w:spacing w:after="0" w:line="240" w:lineRule="auto"/>
              <w:rPr>
                <w:rFonts w:eastAsia="Times New Roman"/>
                <w:b/>
                <w:sz w:val="24"/>
                <w:szCs w:val="24"/>
              </w:rPr>
            </w:pPr>
            <w:r w:rsidRPr="00F170A7">
              <w:rPr>
                <w:rFonts w:eastAsia="Times New Roman"/>
                <w:b/>
                <w:sz w:val="24"/>
                <w:szCs w:val="24"/>
              </w:rPr>
              <w:t>Business Outcome 17 – The Support of children and their families are met</w:t>
            </w:r>
          </w:p>
        </w:tc>
      </w:tr>
      <w:tr w:rsidR="00302F4A" w:rsidRPr="00F170A7" w:rsidTr="0032227E">
        <w:trPr>
          <w:trHeight w:val="397"/>
        </w:trPr>
        <w:tc>
          <w:tcPr>
            <w:tcW w:w="4815" w:type="dxa"/>
            <w:shd w:val="clear" w:color="auto" w:fill="DEEAF6" w:themeFill="accent1" w:themeFillTint="33"/>
            <w:vAlign w:val="center"/>
          </w:tcPr>
          <w:p w:rsidR="00302F4A" w:rsidRPr="00F170A7" w:rsidRDefault="00302F4A" w:rsidP="0032227E">
            <w:pPr>
              <w:spacing w:after="0" w:line="240" w:lineRule="auto"/>
              <w:rPr>
                <w:sz w:val="24"/>
                <w:szCs w:val="24"/>
              </w:rPr>
            </w:pPr>
            <w:r w:rsidRPr="00F170A7">
              <w:rPr>
                <w:sz w:val="24"/>
                <w:szCs w:val="24"/>
              </w:rPr>
              <w:t>We asked (focus of consultation)</w:t>
            </w:r>
          </w:p>
        </w:tc>
        <w:tc>
          <w:tcPr>
            <w:tcW w:w="4961" w:type="dxa"/>
            <w:shd w:val="clear" w:color="auto" w:fill="DEEAF6" w:themeFill="accent1" w:themeFillTint="33"/>
            <w:vAlign w:val="center"/>
          </w:tcPr>
          <w:p w:rsidR="00302F4A" w:rsidRPr="00F170A7" w:rsidRDefault="00302F4A" w:rsidP="0032227E">
            <w:pPr>
              <w:spacing w:after="0" w:line="240" w:lineRule="auto"/>
              <w:rPr>
                <w:sz w:val="24"/>
                <w:szCs w:val="24"/>
              </w:rPr>
            </w:pPr>
            <w:r w:rsidRPr="00F170A7">
              <w:rPr>
                <w:sz w:val="24"/>
                <w:szCs w:val="24"/>
              </w:rPr>
              <w:t>You said (customer response)</w:t>
            </w:r>
          </w:p>
        </w:tc>
        <w:tc>
          <w:tcPr>
            <w:tcW w:w="4678" w:type="dxa"/>
            <w:shd w:val="clear" w:color="auto" w:fill="DEEAF6" w:themeFill="accent1" w:themeFillTint="33"/>
            <w:vAlign w:val="center"/>
          </w:tcPr>
          <w:p w:rsidR="00302F4A" w:rsidRPr="00F170A7" w:rsidRDefault="00302F4A" w:rsidP="0032227E">
            <w:pPr>
              <w:spacing w:after="0" w:line="240" w:lineRule="auto"/>
              <w:rPr>
                <w:sz w:val="24"/>
                <w:szCs w:val="24"/>
              </w:rPr>
            </w:pPr>
            <w:r w:rsidRPr="00F170A7">
              <w:rPr>
                <w:sz w:val="24"/>
                <w:szCs w:val="24"/>
              </w:rPr>
              <w:t>We did (improvement actions)</w:t>
            </w:r>
          </w:p>
        </w:tc>
      </w:tr>
      <w:tr w:rsidR="00302F4A" w:rsidRPr="00F170A7" w:rsidTr="0032227E">
        <w:trPr>
          <w:trHeight w:val="265"/>
        </w:trPr>
        <w:tc>
          <w:tcPr>
            <w:tcW w:w="4815" w:type="dxa"/>
          </w:tcPr>
          <w:p w:rsidR="00302F4A" w:rsidRPr="00F170A7" w:rsidRDefault="00302F4A" w:rsidP="0032227E">
            <w:pPr>
              <w:rPr>
                <w:sz w:val="24"/>
                <w:szCs w:val="24"/>
              </w:rPr>
            </w:pPr>
            <w:r w:rsidRPr="00F170A7">
              <w:rPr>
                <w:sz w:val="24"/>
                <w:szCs w:val="24"/>
              </w:rPr>
              <w:t>ELC 1140 funded hours parent survey</w:t>
            </w:r>
          </w:p>
          <w:p w:rsidR="00302F4A" w:rsidRPr="00F170A7" w:rsidRDefault="00302F4A" w:rsidP="0032227E">
            <w:pPr>
              <w:rPr>
                <w:sz w:val="24"/>
                <w:szCs w:val="24"/>
              </w:rPr>
            </w:pPr>
          </w:p>
        </w:tc>
        <w:tc>
          <w:tcPr>
            <w:tcW w:w="4961" w:type="dxa"/>
          </w:tcPr>
          <w:p w:rsidR="00302F4A" w:rsidRPr="00F170A7" w:rsidRDefault="00302F4A" w:rsidP="0032227E">
            <w:pPr>
              <w:rPr>
                <w:sz w:val="24"/>
                <w:szCs w:val="24"/>
              </w:rPr>
            </w:pPr>
            <w:r w:rsidRPr="00F170A7">
              <w:rPr>
                <w:sz w:val="24"/>
                <w:szCs w:val="24"/>
              </w:rPr>
              <w:t xml:space="preserve">This survey was created in order to further consult with parents as we enter our next delivery of phasing. </w:t>
            </w:r>
          </w:p>
          <w:p w:rsidR="00302F4A" w:rsidRPr="00F170A7" w:rsidRDefault="00302F4A" w:rsidP="0032227E">
            <w:pPr>
              <w:rPr>
                <w:sz w:val="24"/>
                <w:szCs w:val="24"/>
              </w:rPr>
            </w:pPr>
            <w:r w:rsidRPr="00F170A7">
              <w:rPr>
                <w:sz w:val="24"/>
                <w:szCs w:val="24"/>
              </w:rPr>
              <w:t xml:space="preserve">The survey was open to all who has an interest/requirement of/for Early Learning and Childcare (ELC) across Argyll and Bute between: 21st February 2019 – Sunday 10th March 2019. </w:t>
            </w:r>
          </w:p>
          <w:p w:rsidR="00302F4A" w:rsidRPr="00F170A7" w:rsidRDefault="00302F4A" w:rsidP="0032227E">
            <w:pPr>
              <w:rPr>
                <w:sz w:val="24"/>
                <w:szCs w:val="24"/>
              </w:rPr>
            </w:pPr>
            <w:r w:rsidRPr="00F170A7">
              <w:rPr>
                <w:sz w:val="24"/>
                <w:szCs w:val="24"/>
              </w:rPr>
              <w:t xml:space="preserve">A total of 455 responses were made. </w:t>
            </w:r>
          </w:p>
        </w:tc>
        <w:tc>
          <w:tcPr>
            <w:tcW w:w="4678" w:type="dxa"/>
          </w:tcPr>
          <w:p w:rsidR="00302F4A" w:rsidRPr="00F170A7" w:rsidRDefault="00302F4A" w:rsidP="0032227E">
            <w:pPr>
              <w:rPr>
                <w:sz w:val="24"/>
                <w:szCs w:val="24"/>
              </w:rPr>
            </w:pPr>
            <w:r w:rsidRPr="00F170A7">
              <w:rPr>
                <w:sz w:val="24"/>
                <w:szCs w:val="24"/>
              </w:rPr>
              <w:t xml:space="preserve">Influenced ELC 1140 Phasing Plan going forward from August 2019. </w:t>
            </w:r>
          </w:p>
          <w:p w:rsidR="00302F4A" w:rsidRPr="00F170A7" w:rsidRDefault="00302F4A" w:rsidP="0032227E">
            <w:pPr>
              <w:rPr>
                <w:sz w:val="24"/>
                <w:szCs w:val="24"/>
              </w:rPr>
            </w:pPr>
            <w:r w:rsidRPr="00F170A7">
              <w:rPr>
                <w:sz w:val="24"/>
                <w:szCs w:val="24"/>
              </w:rPr>
              <w:t>Re considered patterns of provision that will be offered in cluster areas.</w:t>
            </w:r>
          </w:p>
          <w:p w:rsidR="00302F4A" w:rsidRPr="00F170A7" w:rsidRDefault="00302F4A" w:rsidP="0032227E">
            <w:pPr>
              <w:rPr>
                <w:sz w:val="24"/>
                <w:szCs w:val="24"/>
              </w:rPr>
            </w:pPr>
            <w:r w:rsidRPr="00F170A7">
              <w:rPr>
                <w:sz w:val="24"/>
                <w:szCs w:val="24"/>
              </w:rPr>
              <w:t xml:space="preserve">Outdoor Nursery Provision is being considered/pursued in urban areas. </w:t>
            </w:r>
          </w:p>
        </w:tc>
      </w:tr>
      <w:tr w:rsidR="00302F4A" w:rsidRPr="00F170A7" w:rsidTr="0032227E">
        <w:trPr>
          <w:trHeight w:val="265"/>
        </w:trPr>
        <w:tc>
          <w:tcPr>
            <w:tcW w:w="4815" w:type="dxa"/>
          </w:tcPr>
          <w:p w:rsidR="00302F4A" w:rsidRPr="00F170A7" w:rsidRDefault="00302F4A" w:rsidP="0032227E">
            <w:pPr>
              <w:rPr>
                <w:sz w:val="24"/>
                <w:szCs w:val="24"/>
              </w:rPr>
            </w:pPr>
            <w:r w:rsidRPr="00F170A7">
              <w:rPr>
                <w:sz w:val="24"/>
                <w:szCs w:val="24"/>
              </w:rPr>
              <w:t>School holiday dates for 2020-2023</w:t>
            </w:r>
          </w:p>
        </w:tc>
        <w:tc>
          <w:tcPr>
            <w:tcW w:w="4961" w:type="dxa"/>
          </w:tcPr>
          <w:p w:rsidR="00302F4A" w:rsidRPr="00F170A7" w:rsidRDefault="00302F4A" w:rsidP="0032227E">
            <w:pPr>
              <w:rPr>
                <w:sz w:val="24"/>
                <w:szCs w:val="24"/>
              </w:rPr>
            </w:pPr>
            <w:r w:rsidRPr="00F170A7">
              <w:rPr>
                <w:sz w:val="24"/>
                <w:szCs w:val="24"/>
              </w:rPr>
              <w:t xml:space="preserve">Views were collated and returned by HTs in collaboration with staff and Parent Councils. </w:t>
            </w:r>
          </w:p>
        </w:tc>
        <w:tc>
          <w:tcPr>
            <w:tcW w:w="4678" w:type="dxa"/>
          </w:tcPr>
          <w:p w:rsidR="00302F4A" w:rsidRPr="00F170A7" w:rsidRDefault="00302F4A" w:rsidP="0032227E">
            <w:pPr>
              <w:rPr>
                <w:sz w:val="24"/>
                <w:szCs w:val="24"/>
              </w:rPr>
            </w:pPr>
            <w:r w:rsidRPr="00F170A7">
              <w:rPr>
                <w:sz w:val="24"/>
                <w:szCs w:val="24"/>
              </w:rPr>
              <w:t>School holiday dates for 2020-2023 were formed on the basis of this feedback.  Further consultation took place with HT Advisory Group, JSC and LNCT.  Proposed dates were agreed to be presented to Community Services Committee for approval in June 2019.</w:t>
            </w:r>
          </w:p>
        </w:tc>
      </w:tr>
    </w:tbl>
    <w:p w:rsidR="00F170A7" w:rsidRDefault="00F170A7"/>
    <w:p w:rsidR="00F170A7" w:rsidRDefault="00F170A7">
      <w:pPr>
        <w:spacing w:after="0" w:line="240" w:lineRule="auto"/>
      </w:pPr>
      <w:r>
        <w:br w:type="page"/>
      </w:r>
    </w:p>
    <w:p w:rsidR="00302F4A" w:rsidRDefault="00302F4A"/>
    <w:tbl>
      <w:tblPr>
        <w:tblStyle w:val="TableGrid1"/>
        <w:tblW w:w="0" w:type="auto"/>
        <w:tblLook w:val="04A0" w:firstRow="1" w:lastRow="0" w:firstColumn="1" w:lastColumn="0" w:noHBand="0" w:noVBand="1"/>
      </w:tblPr>
      <w:tblGrid>
        <w:gridCol w:w="4815"/>
        <w:gridCol w:w="4961"/>
        <w:gridCol w:w="4678"/>
      </w:tblGrid>
      <w:tr w:rsidR="00302F4A" w:rsidRPr="00F170A7" w:rsidTr="00B20A70">
        <w:trPr>
          <w:trHeight w:val="397"/>
        </w:trPr>
        <w:tc>
          <w:tcPr>
            <w:tcW w:w="14454" w:type="dxa"/>
            <w:gridSpan w:val="3"/>
            <w:shd w:val="clear" w:color="auto" w:fill="DBDBDB" w:themeFill="accent3" w:themeFillTint="66"/>
            <w:vAlign w:val="center"/>
          </w:tcPr>
          <w:p w:rsidR="00302F4A" w:rsidRPr="00F170A7" w:rsidRDefault="00302F4A" w:rsidP="00B20A70">
            <w:pPr>
              <w:spacing w:after="0" w:line="240" w:lineRule="auto"/>
              <w:rPr>
                <w:rFonts w:eastAsia="Times New Roman"/>
                <w:b/>
                <w:sz w:val="24"/>
                <w:szCs w:val="24"/>
              </w:rPr>
            </w:pPr>
            <w:r w:rsidRPr="00F170A7">
              <w:rPr>
                <w:rFonts w:eastAsia="Times New Roman"/>
                <w:b/>
                <w:sz w:val="24"/>
                <w:szCs w:val="24"/>
              </w:rPr>
              <w:t>Business Outcome 18 - Improved lifestyle choices are enabled</w:t>
            </w:r>
          </w:p>
        </w:tc>
      </w:tr>
      <w:tr w:rsidR="00302F4A" w:rsidRPr="00F170A7" w:rsidTr="00B20A70">
        <w:trPr>
          <w:trHeight w:val="397"/>
        </w:trPr>
        <w:tc>
          <w:tcPr>
            <w:tcW w:w="4815" w:type="dxa"/>
            <w:shd w:val="clear" w:color="auto" w:fill="DEEAF6" w:themeFill="accent1" w:themeFillTint="33"/>
            <w:vAlign w:val="center"/>
          </w:tcPr>
          <w:p w:rsidR="00302F4A" w:rsidRPr="00F170A7" w:rsidRDefault="00302F4A" w:rsidP="00B20A70">
            <w:pPr>
              <w:spacing w:after="0" w:line="240" w:lineRule="auto"/>
              <w:rPr>
                <w:sz w:val="24"/>
                <w:szCs w:val="24"/>
              </w:rPr>
            </w:pPr>
            <w:r w:rsidRPr="00F170A7">
              <w:rPr>
                <w:sz w:val="24"/>
                <w:szCs w:val="24"/>
              </w:rPr>
              <w:t>We asked (focus of consultation)</w:t>
            </w:r>
          </w:p>
        </w:tc>
        <w:tc>
          <w:tcPr>
            <w:tcW w:w="4961" w:type="dxa"/>
            <w:shd w:val="clear" w:color="auto" w:fill="DEEAF6" w:themeFill="accent1" w:themeFillTint="33"/>
            <w:vAlign w:val="center"/>
          </w:tcPr>
          <w:p w:rsidR="00302F4A" w:rsidRPr="00F170A7" w:rsidRDefault="00302F4A" w:rsidP="00B20A70">
            <w:pPr>
              <w:spacing w:after="0" w:line="240" w:lineRule="auto"/>
              <w:rPr>
                <w:sz w:val="24"/>
                <w:szCs w:val="24"/>
              </w:rPr>
            </w:pPr>
            <w:r w:rsidRPr="00F170A7">
              <w:rPr>
                <w:sz w:val="24"/>
                <w:szCs w:val="24"/>
              </w:rPr>
              <w:t>You said (customer response)</w:t>
            </w:r>
          </w:p>
        </w:tc>
        <w:tc>
          <w:tcPr>
            <w:tcW w:w="4678" w:type="dxa"/>
            <w:shd w:val="clear" w:color="auto" w:fill="DEEAF6" w:themeFill="accent1" w:themeFillTint="33"/>
            <w:vAlign w:val="center"/>
          </w:tcPr>
          <w:p w:rsidR="00302F4A" w:rsidRPr="00F170A7" w:rsidRDefault="00302F4A" w:rsidP="00B20A70">
            <w:pPr>
              <w:spacing w:after="0" w:line="240" w:lineRule="auto"/>
              <w:rPr>
                <w:sz w:val="24"/>
                <w:szCs w:val="24"/>
              </w:rPr>
            </w:pPr>
            <w:r w:rsidRPr="00F170A7">
              <w:rPr>
                <w:sz w:val="24"/>
                <w:szCs w:val="24"/>
              </w:rPr>
              <w:t>We did (improvement actions)</w:t>
            </w:r>
          </w:p>
        </w:tc>
      </w:tr>
      <w:tr w:rsidR="00302F4A" w:rsidRPr="00F170A7" w:rsidTr="00B20A70">
        <w:trPr>
          <w:trHeight w:val="265"/>
        </w:trPr>
        <w:tc>
          <w:tcPr>
            <w:tcW w:w="4815" w:type="dxa"/>
          </w:tcPr>
          <w:p w:rsidR="00302F4A" w:rsidRPr="00F170A7" w:rsidRDefault="00302F4A" w:rsidP="00B20A70">
            <w:pPr>
              <w:rPr>
                <w:sz w:val="24"/>
                <w:szCs w:val="24"/>
              </w:rPr>
            </w:pPr>
            <w:r w:rsidRPr="00F170A7">
              <w:rPr>
                <w:sz w:val="24"/>
                <w:szCs w:val="24"/>
              </w:rPr>
              <w:t>Menu consultations</w:t>
            </w:r>
          </w:p>
          <w:p w:rsidR="00302F4A" w:rsidRPr="00F170A7" w:rsidRDefault="00302F4A" w:rsidP="00B20A70">
            <w:pPr>
              <w:rPr>
                <w:sz w:val="24"/>
                <w:szCs w:val="24"/>
              </w:rPr>
            </w:pPr>
          </w:p>
        </w:tc>
        <w:tc>
          <w:tcPr>
            <w:tcW w:w="4961" w:type="dxa"/>
          </w:tcPr>
          <w:p w:rsidR="00302F4A" w:rsidRPr="00F170A7" w:rsidRDefault="00302F4A" w:rsidP="00B20A70">
            <w:pPr>
              <w:rPr>
                <w:sz w:val="24"/>
                <w:szCs w:val="24"/>
              </w:rPr>
            </w:pPr>
            <w:r w:rsidRPr="00F170A7">
              <w:rPr>
                <w:sz w:val="24"/>
                <w:szCs w:val="24"/>
              </w:rPr>
              <w:t>On-going discussions with pupils in primary and secondary schools around the choices available. Feedback for secondary schools included: daily specials options, revamp the menu, more grab and go</w:t>
            </w:r>
          </w:p>
          <w:p w:rsidR="00302F4A" w:rsidRPr="00F170A7" w:rsidRDefault="00302F4A" w:rsidP="00B20A70">
            <w:pPr>
              <w:rPr>
                <w:sz w:val="24"/>
                <w:szCs w:val="24"/>
              </w:rPr>
            </w:pPr>
            <w:r w:rsidRPr="00F170A7">
              <w:rPr>
                <w:sz w:val="24"/>
                <w:szCs w:val="24"/>
              </w:rPr>
              <w:t>Primary school feedback included: improved salad bar, include favourites in new menu (e.g. steak pie, macaroni, chicken curry, pizza etc.)</w:t>
            </w:r>
          </w:p>
        </w:tc>
        <w:tc>
          <w:tcPr>
            <w:tcW w:w="4678" w:type="dxa"/>
          </w:tcPr>
          <w:p w:rsidR="00302F4A" w:rsidRPr="00F170A7" w:rsidRDefault="00302F4A" w:rsidP="00B20A70">
            <w:pPr>
              <w:rPr>
                <w:sz w:val="24"/>
                <w:szCs w:val="24"/>
              </w:rPr>
            </w:pPr>
            <w:r w:rsidRPr="00F170A7">
              <w:rPr>
                <w:sz w:val="24"/>
                <w:szCs w:val="24"/>
              </w:rPr>
              <w:t>Secondary menu changed to include suggestions and standardised across all schools.</w:t>
            </w:r>
          </w:p>
          <w:p w:rsidR="00302F4A" w:rsidRPr="00F170A7" w:rsidRDefault="00302F4A" w:rsidP="00B20A70">
            <w:pPr>
              <w:rPr>
                <w:sz w:val="24"/>
                <w:szCs w:val="24"/>
              </w:rPr>
            </w:pPr>
            <w:r w:rsidRPr="00F170A7">
              <w:rPr>
                <w:sz w:val="24"/>
                <w:szCs w:val="24"/>
              </w:rPr>
              <w:t>New primary menu included options from all Focus groups.</w:t>
            </w:r>
          </w:p>
        </w:tc>
      </w:tr>
    </w:tbl>
    <w:p w:rsidR="00F170A7" w:rsidRDefault="00F170A7" w:rsidP="00B20A70">
      <w:pPr>
        <w:rPr>
          <w:sz w:val="24"/>
          <w:szCs w:val="24"/>
        </w:rPr>
        <w:sectPr w:rsidR="00F170A7" w:rsidSect="00A22CEA">
          <w:pgSz w:w="16838" w:h="11906" w:orient="landscape" w:code="9"/>
          <w:pgMar w:top="851" w:right="1134" w:bottom="851" w:left="1134" w:header="709" w:footer="709" w:gutter="0"/>
          <w:cols w:space="708"/>
          <w:docGrid w:linePitch="360"/>
        </w:sectPr>
      </w:pPr>
    </w:p>
    <w:tbl>
      <w:tblPr>
        <w:tblStyle w:val="TableGrid1"/>
        <w:tblW w:w="0" w:type="auto"/>
        <w:tblLook w:val="04A0" w:firstRow="1" w:lastRow="0" w:firstColumn="1" w:lastColumn="0" w:noHBand="0" w:noVBand="1"/>
      </w:tblPr>
      <w:tblGrid>
        <w:gridCol w:w="4815"/>
        <w:gridCol w:w="4961"/>
        <w:gridCol w:w="4678"/>
      </w:tblGrid>
      <w:tr w:rsidR="00F170A7" w:rsidRPr="00F170A7" w:rsidTr="00B20A70">
        <w:trPr>
          <w:trHeight w:val="265"/>
        </w:trPr>
        <w:tc>
          <w:tcPr>
            <w:tcW w:w="4815" w:type="dxa"/>
          </w:tcPr>
          <w:p w:rsidR="00F170A7" w:rsidRPr="00F170A7" w:rsidRDefault="00F170A7" w:rsidP="00B20A70">
            <w:pPr>
              <w:rPr>
                <w:sz w:val="24"/>
                <w:szCs w:val="24"/>
              </w:rPr>
            </w:pPr>
          </w:p>
        </w:tc>
        <w:tc>
          <w:tcPr>
            <w:tcW w:w="4961" w:type="dxa"/>
          </w:tcPr>
          <w:p w:rsidR="00F170A7" w:rsidRPr="00F170A7" w:rsidRDefault="00F170A7" w:rsidP="00B20A70">
            <w:pPr>
              <w:rPr>
                <w:sz w:val="24"/>
                <w:szCs w:val="24"/>
              </w:rPr>
            </w:pPr>
          </w:p>
        </w:tc>
        <w:tc>
          <w:tcPr>
            <w:tcW w:w="4678" w:type="dxa"/>
          </w:tcPr>
          <w:p w:rsidR="00F170A7" w:rsidRPr="00F170A7" w:rsidRDefault="00F170A7" w:rsidP="00B20A70">
            <w:pPr>
              <w:rPr>
                <w:sz w:val="24"/>
                <w:szCs w:val="24"/>
              </w:rPr>
            </w:pPr>
          </w:p>
        </w:tc>
      </w:tr>
      <w:tr w:rsidR="0022553E" w:rsidRPr="00F170A7" w:rsidTr="000D61D7">
        <w:trPr>
          <w:trHeight w:val="397"/>
        </w:trPr>
        <w:tc>
          <w:tcPr>
            <w:tcW w:w="14454" w:type="dxa"/>
            <w:gridSpan w:val="3"/>
            <w:shd w:val="clear" w:color="auto" w:fill="DBDBDB" w:themeFill="accent3" w:themeFillTint="66"/>
            <w:vAlign w:val="center"/>
          </w:tcPr>
          <w:p w:rsidR="0022553E" w:rsidRPr="00F170A7" w:rsidRDefault="0022553E" w:rsidP="000D61D7">
            <w:pPr>
              <w:spacing w:after="0" w:line="240" w:lineRule="auto"/>
              <w:rPr>
                <w:b/>
                <w:sz w:val="24"/>
                <w:szCs w:val="24"/>
              </w:rPr>
            </w:pPr>
            <w:r w:rsidRPr="00F170A7">
              <w:rPr>
                <w:b/>
                <w:sz w:val="24"/>
                <w:szCs w:val="24"/>
              </w:rPr>
              <w:t xml:space="preserve">Supports Business Outcome </w:t>
            </w:r>
            <w:r w:rsidRPr="00F170A7">
              <w:rPr>
                <w:rFonts w:eastAsia="Times New Roman"/>
                <w:b/>
                <w:sz w:val="24"/>
                <w:szCs w:val="24"/>
              </w:rPr>
              <w:t>19 - All children and young people are supported to realise their potential</w:t>
            </w:r>
          </w:p>
        </w:tc>
      </w:tr>
      <w:tr w:rsidR="0022553E" w:rsidRPr="00F170A7" w:rsidTr="000D61D7">
        <w:trPr>
          <w:trHeight w:val="397"/>
        </w:trPr>
        <w:tc>
          <w:tcPr>
            <w:tcW w:w="4815" w:type="dxa"/>
            <w:shd w:val="clear" w:color="auto" w:fill="DEEAF6" w:themeFill="accent1" w:themeFillTint="33"/>
            <w:vAlign w:val="center"/>
          </w:tcPr>
          <w:p w:rsidR="0022553E" w:rsidRPr="00F170A7" w:rsidRDefault="0022553E" w:rsidP="000D61D7">
            <w:pPr>
              <w:spacing w:after="0" w:line="240" w:lineRule="auto"/>
              <w:rPr>
                <w:sz w:val="24"/>
                <w:szCs w:val="24"/>
              </w:rPr>
            </w:pPr>
            <w:r w:rsidRPr="00F170A7">
              <w:rPr>
                <w:sz w:val="24"/>
                <w:szCs w:val="24"/>
              </w:rPr>
              <w:t>We asked (focus of consultation)</w:t>
            </w:r>
          </w:p>
        </w:tc>
        <w:tc>
          <w:tcPr>
            <w:tcW w:w="4961" w:type="dxa"/>
            <w:shd w:val="clear" w:color="auto" w:fill="DEEAF6" w:themeFill="accent1" w:themeFillTint="33"/>
            <w:vAlign w:val="center"/>
          </w:tcPr>
          <w:p w:rsidR="0022553E" w:rsidRPr="00F170A7" w:rsidRDefault="0022553E" w:rsidP="000D61D7">
            <w:pPr>
              <w:spacing w:after="0" w:line="240" w:lineRule="auto"/>
              <w:rPr>
                <w:sz w:val="24"/>
                <w:szCs w:val="24"/>
              </w:rPr>
            </w:pPr>
            <w:r w:rsidRPr="00F170A7">
              <w:rPr>
                <w:sz w:val="24"/>
                <w:szCs w:val="24"/>
              </w:rPr>
              <w:t>You said (customer response)</w:t>
            </w:r>
          </w:p>
        </w:tc>
        <w:tc>
          <w:tcPr>
            <w:tcW w:w="4678" w:type="dxa"/>
            <w:shd w:val="clear" w:color="auto" w:fill="DEEAF6" w:themeFill="accent1" w:themeFillTint="33"/>
            <w:vAlign w:val="center"/>
          </w:tcPr>
          <w:p w:rsidR="0022553E" w:rsidRPr="00F170A7" w:rsidRDefault="0022553E" w:rsidP="000D61D7">
            <w:pPr>
              <w:spacing w:after="0" w:line="240" w:lineRule="auto"/>
              <w:rPr>
                <w:sz w:val="24"/>
                <w:szCs w:val="24"/>
              </w:rPr>
            </w:pPr>
            <w:r w:rsidRPr="00F170A7">
              <w:rPr>
                <w:sz w:val="24"/>
                <w:szCs w:val="24"/>
              </w:rPr>
              <w:t>We did (improvement actions)</w:t>
            </w:r>
          </w:p>
        </w:tc>
      </w:tr>
      <w:tr w:rsidR="0022553E" w:rsidRPr="00F170A7" w:rsidTr="000D61D7">
        <w:trPr>
          <w:trHeight w:val="265"/>
        </w:trPr>
        <w:tc>
          <w:tcPr>
            <w:tcW w:w="4815" w:type="dxa"/>
          </w:tcPr>
          <w:p w:rsidR="0022553E" w:rsidRPr="00F170A7" w:rsidRDefault="0022553E" w:rsidP="000D61D7">
            <w:pPr>
              <w:rPr>
                <w:sz w:val="24"/>
                <w:szCs w:val="24"/>
              </w:rPr>
            </w:pPr>
            <w:r w:rsidRPr="00F170A7">
              <w:rPr>
                <w:sz w:val="24"/>
                <w:szCs w:val="24"/>
              </w:rPr>
              <w:t>For improvements that we could make to the School Improvement Planning (SIP) Format</w:t>
            </w:r>
          </w:p>
        </w:tc>
        <w:tc>
          <w:tcPr>
            <w:tcW w:w="4961" w:type="dxa"/>
          </w:tcPr>
          <w:p w:rsidR="0022553E" w:rsidRPr="00F170A7" w:rsidRDefault="0022553E" w:rsidP="000D61D7">
            <w:pPr>
              <w:rPr>
                <w:sz w:val="24"/>
                <w:szCs w:val="24"/>
              </w:rPr>
            </w:pPr>
            <w:r w:rsidRPr="00F170A7">
              <w:rPr>
                <w:sz w:val="24"/>
                <w:szCs w:val="24"/>
              </w:rPr>
              <w:t>It could be reviewed to reduce repetition and to take account of shared headships.</w:t>
            </w:r>
          </w:p>
        </w:tc>
        <w:tc>
          <w:tcPr>
            <w:tcW w:w="4678" w:type="dxa"/>
          </w:tcPr>
          <w:p w:rsidR="0022553E" w:rsidRPr="00F170A7" w:rsidRDefault="0022553E" w:rsidP="000D61D7">
            <w:pPr>
              <w:rPr>
                <w:sz w:val="24"/>
                <w:szCs w:val="24"/>
              </w:rPr>
            </w:pPr>
            <w:r w:rsidRPr="00F170A7">
              <w:rPr>
                <w:sz w:val="24"/>
                <w:szCs w:val="24"/>
              </w:rPr>
              <w:t>Set up a working group of Head Teachers to evaluate, review and improve the SIP Format for 2019-20 academic session.  This is complete and has been distributed to all establishment heads for use in academic session 2019-20.</w:t>
            </w:r>
          </w:p>
        </w:tc>
      </w:tr>
    </w:tbl>
    <w:p w:rsidR="00075952" w:rsidRPr="001760C9" w:rsidRDefault="00075952" w:rsidP="008D3D6B">
      <w:pPr>
        <w:spacing w:after="0" w:line="240" w:lineRule="auto"/>
        <w:rPr>
          <w:rFonts w:ascii="Arial" w:hAnsi="Arial" w:cs="Arial"/>
          <w:sz w:val="20"/>
        </w:rPr>
      </w:pPr>
    </w:p>
    <w:p w:rsidR="008D3D6B" w:rsidRDefault="008D3D6B" w:rsidP="008D3D6B">
      <w:pPr>
        <w:spacing w:after="0" w:line="240" w:lineRule="auto"/>
        <w:rPr>
          <w:rFonts w:ascii="Arial" w:hAnsi="Arial" w:cs="Arial"/>
          <w:sz w:val="20"/>
        </w:rPr>
      </w:pPr>
    </w:p>
    <w:p w:rsidR="001760C9" w:rsidRDefault="001760C9" w:rsidP="008D3D6B">
      <w:pPr>
        <w:spacing w:after="0" w:line="240" w:lineRule="auto"/>
        <w:rPr>
          <w:rFonts w:ascii="Arial" w:hAnsi="Arial" w:cs="Arial"/>
          <w:sz w:val="20"/>
        </w:rPr>
      </w:pPr>
    </w:p>
    <w:p w:rsidR="001760C9" w:rsidRDefault="001760C9" w:rsidP="008D3D6B">
      <w:pPr>
        <w:spacing w:after="0" w:line="240" w:lineRule="auto"/>
        <w:rPr>
          <w:rFonts w:ascii="Arial" w:hAnsi="Arial" w:cs="Arial"/>
          <w:sz w:val="20"/>
        </w:rPr>
        <w:sectPr w:rsidR="001760C9" w:rsidSect="00F170A7">
          <w:type w:val="continuous"/>
          <w:pgSz w:w="16838" w:h="11906" w:orient="landscape" w:code="9"/>
          <w:pgMar w:top="851" w:right="1134" w:bottom="851" w:left="1134" w:header="709" w:footer="709" w:gutter="0"/>
          <w:cols w:space="708"/>
          <w:docGrid w:linePitch="360"/>
        </w:sectPr>
      </w:pPr>
    </w:p>
    <w:p w:rsidR="00BB09B3" w:rsidRPr="001760C9" w:rsidRDefault="00BB09B3" w:rsidP="008D3D6B">
      <w:pPr>
        <w:spacing w:after="0" w:line="240" w:lineRule="auto"/>
        <w:rPr>
          <w:rFonts w:ascii="Arial" w:hAnsi="Arial" w:cs="Arial"/>
          <w:sz w:val="20"/>
        </w:rPr>
      </w:pPr>
    </w:p>
    <w:p w:rsidR="00BB09B3" w:rsidRPr="001760C9" w:rsidRDefault="00BB09B3" w:rsidP="008D3D6B">
      <w:pPr>
        <w:spacing w:after="0" w:line="240" w:lineRule="auto"/>
        <w:rPr>
          <w:rFonts w:ascii="Arial" w:hAnsi="Arial" w:cs="Arial"/>
          <w:sz w:val="20"/>
        </w:rPr>
      </w:pPr>
    </w:p>
    <w:tbl>
      <w:tblPr>
        <w:tblStyle w:val="TableGrid1"/>
        <w:tblW w:w="14596" w:type="dxa"/>
        <w:tblLook w:val="04A0" w:firstRow="1" w:lastRow="0" w:firstColumn="1" w:lastColumn="0" w:noHBand="0" w:noVBand="1"/>
      </w:tblPr>
      <w:tblGrid>
        <w:gridCol w:w="4815"/>
        <w:gridCol w:w="4961"/>
        <w:gridCol w:w="4820"/>
      </w:tblGrid>
      <w:tr w:rsidR="00BB09B3" w:rsidRPr="00F170A7" w:rsidTr="00302F4A">
        <w:trPr>
          <w:trHeight w:val="397"/>
        </w:trPr>
        <w:tc>
          <w:tcPr>
            <w:tcW w:w="14596" w:type="dxa"/>
            <w:gridSpan w:val="3"/>
            <w:shd w:val="clear" w:color="auto" w:fill="DBDBDB" w:themeFill="accent3" w:themeFillTint="66"/>
            <w:vAlign w:val="center"/>
          </w:tcPr>
          <w:p w:rsidR="00BB09B3" w:rsidRPr="00F170A7" w:rsidRDefault="00BB09B3" w:rsidP="00B01D62">
            <w:pPr>
              <w:spacing w:after="0" w:line="240" w:lineRule="auto"/>
              <w:rPr>
                <w:b/>
                <w:sz w:val="24"/>
                <w:szCs w:val="24"/>
              </w:rPr>
            </w:pPr>
            <w:r w:rsidRPr="00F170A7">
              <w:rPr>
                <w:b/>
                <w:sz w:val="24"/>
                <w:szCs w:val="24"/>
              </w:rPr>
              <w:t>Business Outcome 23 - Economic growth is supported</w:t>
            </w:r>
          </w:p>
        </w:tc>
      </w:tr>
      <w:tr w:rsidR="00BB09B3" w:rsidRPr="00F170A7" w:rsidTr="00302F4A">
        <w:trPr>
          <w:trHeight w:val="397"/>
        </w:trPr>
        <w:tc>
          <w:tcPr>
            <w:tcW w:w="4815" w:type="dxa"/>
            <w:shd w:val="clear" w:color="auto" w:fill="DEEAF6" w:themeFill="accent1" w:themeFillTint="33"/>
            <w:vAlign w:val="center"/>
          </w:tcPr>
          <w:p w:rsidR="00BB09B3" w:rsidRPr="00F170A7" w:rsidRDefault="00BB09B3" w:rsidP="00B01D62">
            <w:pPr>
              <w:spacing w:after="0" w:line="240" w:lineRule="auto"/>
              <w:rPr>
                <w:sz w:val="24"/>
                <w:szCs w:val="24"/>
              </w:rPr>
            </w:pPr>
            <w:r w:rsidRPr="00F170A7">
              <w:rPr>
                <w:sz w:val="24"/>
                <w:szCs w:val="24"/>
              </w:rPr>
              <w:t>We asked (focus of consultation)</w:t>
            </w:r>
          </w:p>
        </w:tc>
        <w:tc>
          <w:tcPr>
            <w:tcW w:w="4961" w:type="dxa"/>
            <w:shd w:val="clear" w:color="auto" w:fill="DEEAF6" w:themeFill="accent1" w:themeFillTint="33"/>
            <w:vAlign w:val="center"/>
          </w:tcPr>
          <w:p w:rsidR="00BB09B3" w:rsidRPr="00F170A7" w:rsidRDefault="00BB09B3" w:rsidP="00B01D62">
            <w:pPr>
              <w:spacing w:after="0" w:line="240" w:lineRule="auto"/>
              <w:rPr>
                <w:sz w:val="24"/>
                <w:szCs w:val="24"/>
              </w:rPr>
            </w:pPr>
            <w:r w:rsidRPr="00F170A7">
              <w:rPr>
                <w:sz w:val="24"/>
                <w:szCs w:val="24"/>
              </w:rPr>
              <w:t>You said (customer response)</w:t>
            </w:r>
          </w:p>
        </w:tc>
        <w:tc>
          <w:tcPr>
            <w:tcW w:w="4820" w:type="dxa"/>
            <w:shd w:val="clear" w:color="auto" w:fill="DEEAF6" w:themeFill="accent1" w:themeFillTint="33"/>
            <w:vAlign w:val="center"/>
          </w:tcPr>
          <w:p w:rsidR="00BB09B3" w:rsidRPr="00F170A7" w:rsidRDefault="00BB09B3" w:rsidP="00B01D62">
            <w:pPr>
              <w:spacing w:after="0" w:line="240" w:lineRule="auto"/>
              <w:rPr>
                <w:sz w:val="24"/>
                <w:szCs w:val="24"/>
              </w:rPr>
            </w:pPr>
            <w:r w:rsidRPr="00F170A7">
              <w:rPr>
                <w:sz w:val="24"/>
                <w:szCs w:val="24"/>
              </w:rPr>
              <w:t>We did (improvement actions)</w:t>
            </w:r>
          </w:p>
        </w:tc>
      </w:tr>
      <w:tr w:rsidR="00F56977" w:rsidRPr="00F170A7" w:rsidTr="00302F4A">
        <w:trPr>
          <w:trHeight w:val="265"/>
        </w:trPr>
        <w:tc>
          <w:tcPr>
            <w:tcW w:w="4815" w:type="dxa"/>
          </w:tcPr>
          <w:p w:rsidR="00F56977" w:rsidRPr="00F170A7" w:rsidRDefault="00F56977" w:rsidP="00F56977">
            <w:pPr>
              <w:rPr>
                <w:sz w:val="24"/>
                <w:szCs w:val="24"/>
              </w:rPr>
            </w:pPr>
            <w:r w:rsidRPr="00F170A7">
              <w:rPr>
                <w:sz w:val="24"/>
                <w:szCs w:val="24"/>
              </w:rPr>
              <w:t>We asked the public via an on-line consultation if they supported the key vision and themes of the Rural Growth Deal.</w:t>
            </w:r>
          </w:p>
        </w:tc>
        <w:tc>
          <w:tcPr>
            <w:tcW w:w="4961" w:type="dxa"/>
          </w:tcPr>
          <w:p w:rsidR="00F56977" w:rsidRPr="00F170A7" w:rsidRDefault="00F56977" w:rsidP="00F56977">
            <w:pPr>
              <w:rPr>
                <w:sz w:val="24"/>
                <w:szCs w:val="24"/>
              </w:rPr>
            </w:pPr>
            <w:r w:rsidRPr="00F170A7">
              <w:rPr>
                <w:sz w:val="24"/>
                <w:szCs w:val="24"/>
              </w:rPr>
              <w:t>Overall very strong support with over 900 responses and 97% support for a growth deal for the region.</w:t>
            </w:r>
          </w:p>
        </w:tc>
        <w:tc>
          <w:tcPr>
            <w:tcW w:w="4820" w:type="dxa"/>
          </w:tcPr>
          <w:p w:rsidR="00F56977" w:rsidRPr="00F170A7" w:rsidRDefault="00F56977" w:rsidP="00F56977">
            <w:pPr>
              <w:rPr>
                <w:sz w:val="24"/>
                <w:szCs w:val="24"/>
              </w:rPr>
            </w:pPr>
            <w:r w:rsidRPr="00F170A7">
              <w:rPr>
                <w:sz w:val="24"/>
                <w:szCs w:val="24"/>
              </w:rPr>
              <w:t>Formal Rural Growth Deal proposition document submitted to the Scottish and UK Government in November 2018.</w:t>
            </w:r>
          </w:p>
        </w:tc>
      </w:tr>
      <w:tr w:rsidR="00F56977" w:rsidRPr="00F170A7" w:rsidTr="00302F4A">
        <w:trPr>
          <w:trHeight w:val="265"/>
        </w:trPr>
        <w:tc>
          <w:tcPr>
            <w:tcW w:w="4815" w:type="dxa"/>
          </w:tcPr>
          <w:p w:rsidR="00F56977" w:rsidRPr="00F170A7" w:rsidRDefault="00F56977" w:rsidP="00F56977">
            <w:pPr>
              <w:rPr>
                <w:sz w:val="24"/>
                <w:szCs w:val="24"/>
              </w:rPr>
            </w:pPr>
            <w:r w:rsidRPr="00F170A7">
              <w:rPr>
                <w:sz w:val="24"/>
                <w:szCs w:val="24"/>
              </w:rPr>
              <w:t>We asked the local business industry and key industry sectors if they supported the Rural Growth Deal and for their feedback for projects that should be included.</w:t>
            </w:r>
          </w:p>
        </w:tc>
        <w:tc>
          <w:tcPr>
            <w:tcW w:w="4961" w:type="dxa"/>
          </w:tcPr>
          <w:p w:rsidR="00F56977" w:rsidRPr="00F170A7" w:rsidRDefault="00F56977" w:rsidP="00F56977">
            <w:pPr>
              <w:rPr>
                <w:sz w:val="24"/>
                <w:szCs w:val="24"/>
              </w:rPr>
            </w:pPr>
            <w:r w:rsidRPr="00F170A7">
              <w:rPr>
                <w:sz w:val="24"/>
                <w:szCs w:val="24"/>
              </w:rPr>
              <w:t xml:space="preserve">Overall local industry was very supportive and a number of key sector workshops were well attended.  </w:t>
            </w:r>
          </w:p>
        </w:tc>
        <w:tc>
          <w:tcPr>
            <w:tcW w:w="4820" w:type="dxa"/>
          </w:tcPr>
          <w:p w:rsidR="00F56977" w:rsidRPr="00F170A7" w:rsidRDefault="00F56977" w:rsidP="00F56977">
            <w:pPr>
              <w:rPr>
                <w:sz w:val="24"/>
                <w:szCs w:val="24"/>
              </w:rPr>
            </w:pPr>
            <w:r w:rsidRPr="00F170A7">
              <w:rPr>
                <w:sz w:val="24"/>
                <w:szCs w:val="24"/>
              </w:rPr>
              <w:t>We took on board a range of comments and new suggestions and many of these were used to shape our Rural Growth Deal proposition.</w:t>
            </w:r>
          </w:p>
        </w:tc>
      </w:tr>
      <w:tr w:rsidR="00075952" w:rsidRPr="00F170A7" w:rsidTr="00302F4A">
        <w:trPr>
          <w:trHeight w:val="265"/>
        </w:trPr>
        <w:tc>
          <w:tcPr>
            <w:tcW w:w="4815" w:type="dxa"/>
          </w:tcPr>
          <w:p w:rsidR="00075952" w:rsidRPr="00F170A7" w:rsidRDefault="00075952" w:rsidP="00075952">
            <w:pPr>
              <w:rPr>
                <w:sz w:val="24"/>
                <w:szCs w:val="24"/>
              </w:rPr>
            </w:pPr>
            <w:r w:rsidRPr="00F170A7">
              <w:rPr>
                <w:sz w:val="24"/>
                <w:szCs w:val="24"/>
              </w:rPr>
              <w:t>We asked schools for information on what languages they were delivering under the Scottish Government 1+2 languages policy</w:t>
            </w:r>
          </w:p>
          <w:p w:rsidR="00075952" w:rsidRPr="00F170A7" w:rsidRDefault="00075952" w:rsidP="00075952">
            <w:pPr>
              <w:rPr>
                <w:sz w:val="24"/>
                <w:szCs w:val="24"/>
              </w:rPr>
            </w:pPr>
          </w:p>
        </w:tc>
        <w:tc>
          <w:tcPr>
            <w:tcW w:w="4961" w:type="dxa"/>
          </w:tcPr>
          <w:p w:rsidR="00075952" w:rsidRPr="00F170A7" w:rsidRDefault="00075952" w:rsidP="00075952">
            <w:pPr>
              <w:rPr>
                <w:sz w:val="24"/>
                <w:szCs w:val="24"/>
              </w:rPr>
            </w:pPr>
            <w:r w:rsidRPr="00F170A7">
              <w:rPr>
                <w:sz w:val="24"/>
                <w:szCs w:val="24"/>
              </w:rPr>
              <w:t xml:space="preserve">Head Teachers responded as to where they were in terms of implementation of the policy which is to be fully embedded by 2021.  L2 (second language over and above mother tongue) languages, Gaelic and French were prescribed by the service.  L3 (from P5 onwards) various languages with Gaelic being the most popular followed by French, Spanish, then BSL.  </w:t>
            </w:r>
          </w:p>
        </w:tc>
        <w:tc>
          <w:tcPr>
            <w:tcW w:w="4820" w:type="dxa"/>
          </w:tcPr>
          <w:p w:rsidR="00075952" w:rsidRPr="00F170A7" w:rsidRDefault="00075952" w:rsidP="00075952">
            <w:pPr>
              <w:rPr>
                <w:sz w:val="24"/>
                <w:szCs w:val="24"/>
              </w:rPr>
            </w:pPr>
            <w:r w:rsidRPr="00F170A7">
              <w:rPr>
                <w:sz w:val="24"/>
                <w:szCs w:val="24"/>
              </w:rPr>
              <w:t>To monitor success, share learning and target support to ensure full implementation of the 1 + 2 languages policy across all schools in Argyll and Bute by 20</w:t>
            </w:r>
            <w:r w:rsidR="0022553E" w:rsidRPr="00F170A7">
              <w:rPr>
                <w:sz w:val="24"/>
                <w:szCs w:val="24"/>
              </w:rPr>
              <w:t xml:space="preserve">21. </w:t>
            </w:r>
            <w:r w:rsidRPr="00F170A7">
              <w:rPr>
                <w:sz w:val="24"/>
                <w:szCs w:val="24"/>
              </w:rPr>
              <w:t xml:space="preserve">Updated Scottish Government as to our progress which helps to inform policy decisions at Scottish Government.  </w:t>
            </w:r>
          </w:p>
        </w:tc>
      </w:tr>
      <w:tr w:rsidR="00302F4A" w:rsidRPr="00F170A7" w:rsidTr="0022553E">
        <w:trPr>
          <w:trHeight w:val="2249"/>
        </w:trPr>
        <w:tc>
          <w:tcPr>
            <w:tcW w:w="4815" w:type="dxa"/>
          </w:tcPr>
          <w:p w:rsidR="00302F4A" w:rsidRPr="00F170A7" w:rsidRDefault="00302F4A" w:rsidP="00302F4A">
            <w:pPr>
              <w:rPr>
                <w:sz w:val="24"/>
                <w:szCs w:val="24"/>
              </w:rPr>
            </w:pPr>
            <w:r w:rsidRPr="00F170A7">
              <w:rPr>
                <w:sz w:val="24"/>
                <w:szCs w:val="24"/>
              </w:rPr>
              <w:t xml:space="preserve">Houses In Multiple Occupation </w:t>
            </w:r>
          </w:p>
          <w:p w:rsidR="00302F4A" w:rsidRPr="00F170A7" w:rsidRDefault="00302F4A" w:rsidP="00302F4A">
            <w:pPr>
              <w:rPr>
                <w:sz w:val="24"/>
                <w:szCs w:val="24"/>
              </w:rPr>
            </w:pPr>
          </w:p>
        </w:tc>
        <w:tc>
          <w:tcPr>
            <w:tcW w:w="4961" w:type="dxa"/>
          </w:tcPr>
          <w:p w:rsidR="00302F4A" w:rsidRPr="00F170A7" w:rsidRDefault="00302F4A" w:rsidP="00302F4A">
            <w:pPr>
              <w:rPr>
                <w:sz w:val="24"/>
                <w:szCs w:val="24"/>
              </w:rPr>
            </w:pPr>
            <w:r w:rsidRPr="00F170A7">
              <w:rPr>
                <w:sz w:val="24"/>
                <w:szCs w:val="24"/>
              </w:rPr>
              <w:t>Perceived issues with anti-social behaviour, approach to and consistent methodology for application of the over provision policy, parking requirements potential to be onerous for certain situations, application of the guidance to renewals, impact on shared services e.g. septic tanks and un-adopted roads, maintenance issues and demand related to Community Planning Projects being considered a mitigating factor</w:t>
            </w:r>
          </w:p>
        </w:tc>
        <w:tc>
          <w:tcPr>
            <w:tcW w:w="4820" w:type="dxa"/>
          </w:tcPr>
          <w:p w:rsidR="00302F4A" w:rsidRPr="00F170A7" w:rsidRDefault="00302F4A" w:rsidP="00302F4A">
            <w:pPr>
              <w:rPr>
                <w:sz w:val="24"/>
                <w:szCs w:val="24"/>
              </w:rPr>
            </w:pPr>
            <w:r w:rsidRPr="00F170A7">
              <w:rPr>
                <w:sz w:val="24"/>
                <w:szCs w:val="24"/>
              </w:rPr>
              <w:t>A Summary Consultation Analysis was published. All the comments made were taken into consideration and have resulted in a number of changes to the Technical Note, in particular in relation to the overprovision policy, parking requirements, shared services and mitigating facto</w:t>
            </w:r>
            <w:r w:rsidR="0022553E" w:rsidRPr="00F170A7">
              <w:rPr>
                <w:sz w:val="24"/>
                <w:szCs w:val="24"/>
              </w:rPr>
              <w:t>rs.</w:t>
            </w:r>
          </w:p>
        </w:tc>
      </w:tr>
      <w:tr w:rsidR="00302F4A" w:rsidRPr="00F170A7" w:rsidTr="00302F4A">
        <w:trPr>
          <w:trHeight w:val="265"/>
        </w:trPr>
        <w:tc>
          <w:tcPr>
            <w:tcW w:w="4815" w:type="dxa"/>
          </w:tcPr>
          <w:p w:rsidR="00302F4A" w:rsidRPr="00F170A7" w:rsidRDefault="00302F4A" w:rsidP="009652AC">
            <w:pPr>
              <w:rPr>
                <w:sz w:val="24"/>
                <w:szCs w:val="24"/>
              </w:rPr>
            </w:pPr>
            <w:r w:rsidRPr="00F170A7">
              <w:rPr>
                <w:sz w:val="24"/>
                <w:szCs w:val="24"/>
              </w:rPr>
              <w:lastRenderedPageBreak/>
              <w:t>Development Management User Forums, Planning Application Exit Questionnaires and content of complaints.</w:t>
            </w:r>
          </w:p>
        </w:tc>
        <w:tc>
          <w:tcPr>
            <w:tcW w:w="4961" w:type="dxa"/>
          </w:tcPr>
          <w:p w:rsidR="00302F4A" w:rsidRPr="00F170A7" w:rsidRDefault="00302F4A" w:rsidP="009652AC">
            <w:pPr>
              <w:rPr>
                <w:sz w:val="24"/>
                <w:szCs w:val="24"/>
              </w:rPr>
            </w:pPr>
            <w:r w:rsidRPr="00F170A7">
              <w:rPr>
                <w:sz w:val="24"/>
                <w:szCs w:val="24"/>
              </w:rPr>
              <w:t xml:space="preserve">A range of positive and negative responses and suggestions for service improvements </w:t>
            </w:r>
          </w:p>
        </w:tc>
        <w:tc>
          <w:tcPr>
            <w:tcW w:w="4820" w:type="dxa"/>
          </w:tcPr>
          <w:p w:rsidR="00302F4A" w:rsidRPr="00F170A7" w:rsidRDefault="00302F4A" w:rsidP="009652AC">
            <w:pPr>
              <w:rPr>
                <w:sz w:val="24"/>
                <w:szCs w:val="24"/>
              </w:rPr>
            </w:pPr>
            <w:r w:rsidRPr="00F170A7">
              <w:rPr>
                <w:sz w:val="24"/>
                <w:szCs w:val="24"/>
              </w:rPr>
              <w:t>Analysed feedback, and identified service improvement actions as appropriate.</w:t>
            </w:r>
          </w:p>
        </w:tc>
      </w:tr>
    </w:tbl>
    <w:p w:rsidR="0022553E" w:rsidRDefault="0022553E" w:rsidP="008D3D6B">
      <w:pPr>
        <w:spacing w:after="0" w:line="240" w:lineRule="auto"/>
        <w:rPr>
          <w:rFonts w:ascii="Arial" w:hAnsi="Arial" w:cs="Arial"/>
          <w:sz w:val="20"/>
          <w:szCs w:val="20"/>
        </w:rPr>
      </w:pPr>
    </w:p>
    <w:tbl>
      <w:tblPr>
        <w:tblStyle w:val="TableGrid1"/>
        <w:tblW w:w="14454" w:type="dxa"/>
        <w:tblLook w:val="04A0" w:firstRow="1" w:lastRow="0" w:firstColumn="1" w:lastColumn="0" w:noHBand="0" w:noVBand="1"/>
      </w:tblPr>
      <w:tblGrid>
        <w:gridCol w:w="4815"/>
        <w:gridCol w:w="4961"/>
        <w:gridCol w:w="4678"/>
      </w:tblGrid>
      <w:tr w:rsidR="00302F4A" w:rsidRPr="00F170A7" w:rsidTr="009652AC">
        <w:trPr>
          <w:trHeight w:val="397"/>
        </w:trPr>
        <w:tc>
          <w:tcPr>
            <w:tcW w:w="14454" w:type="dxa"/>
            <w:gridSpan w:val="3"/>
            <w:shd w:val="clear" w:color="auto" w:fill="DBDBDB" w:themeFill="accent3" w:themeFillTint="66"/>
            <w:vAlign w:val="center"/>
          </w:tcPr>
          <w:p w:rsidR="00302F4A" w:rsidRPr="00F170A7" w:rsidRDefault="0022553E" w:rsidP="00302F4A">
            <w:pPr>
              <w:spacing w:after="0" w:line="240" w:lineRule="auto"/>
              <w:rPr>
                <w:b/>
                <w:sz w:val="24"/>
                <w:szCs w:val="24"/>
              </w:rPr>
            </w:pPr>
            <w:r>
              <w:br w:type="page"/>
            </w:r>
            <w:r w:rsidR="00302F4A" w:rsidRPr="00F170A7">
              <w:rPr>
                <w:b/>
                <w:sz w:val="24"/>
                <w:szCs w:val="24"/>
              </w:rPr>
              <w:t xml:space="preserve">Supports Business Outcome </w:t>
            </w:r>
            <w:r w:rsidR="00302F4A" w:rsidRPr="00F170A7">
              <w:rPr>
                <w:b/>
                <w:sz w:val="24"/>
                <w:szCs w:val="24"/>
                <w:lang w:val="en-US"/>
              </w:rPr>
              <w:t>26 – People have a choice of suitable housing options</w:t>
            </w:r>
          </w:p>
        </w:tc>
      </w:tr>
      <w:tr w:rsidR="00302F4A" w:rsidRPr="00F170A7" w:rsidTr="009652AC">
        <w:trPr>
          <w:trHeight w:val="397"/>
        </w:trPr>
        <w:tc>
          <w:tcPr>
            <w:tcW w:w="4815" w:type="dxa"/>
            <w:shd w:val="clear" w:color="auto" w:fill="DEEAF6" w:themeFill="accent1" w:themeFillTint="33"/>
            <w:vAlign w:val="center"/>
          </w:tcPr>
          <w:p w:rsidR="00302F4A" w:rsidRPr="00F170A7" w:rsidRDefault="00302F4A" w:rsidP="009652AC">
            <w:pPr>
              <w:spacing w:after="0" w:line="240" w:lineRule="auto"/>
              <w:rPr>
                <w:sz w:val="24"/>
                <w:szCs w:val="24"/>
              </w:rPr>
            </w:pPr>
            <w:r w:rsidRPr="00F170A7">
              <w:rPr>
                <w:sz w:val="24"/>
                <w:szCs w:val="24"/>
              </w:rPr>
              <w:t>We asked (focus of consultation)</w:t>
            </w:r>
          </w:p>
        </w:tc>
        <w:tc>
          <w:tcPr>
            <w:tcW w:w="4961" w:type="dxa"/>
            <w:shd w:val="clear" w:color="auto" w:fill="DEEAF6" w:themeFill="accent1" w:themeFillTint="33"/>
            <w:vAlign w:val="center"/>
          </w:tcPr>
          <w:p w:rsidR="00302F4A" w:rsidRPr="00F170A7" w:rsidRDefault="00302F4A" w:rsidP="009652AC">
            <w:pPr>
              <w:spacing w:after="0" w:line="240" w:lineRule="auto"/>
              <w:rPr>
                <w:sz w:val="24"/>
                <w:szCs w:val="24"/>
              </w:rPr>
            </w:pPr>
            <w:r w:rsidRPr="00F170A7">
              <w:rPr>
                <w:sz w:val="24"/>
                <w:szCs w:val="24"/>
              </w:rPr>
              <w:t>We asked (focus of consultation)</w:t>
            </w:r>
          </w:p>
        </w:tc>
        <w:tc>
          <w:tcPr>
            <w:tcW w:w="4678" w:type="dxa"/>
            <w:shd w:val="clear" w:color="auto" w:fill="DEEAF6" w:themeFill="accent1" w:themeFillTint="33"/>
            <w:vAlign w:val="center"/>
          </w:tcPr>
          <w:p w:rsidR="00302F4A" w:rsidRPr="00F170A7" w:rsidRDefault="00302F4A" w:rsidP="009652AC">
            <w:pPr>
              <w:spacing w:after="0" w:line="240" w:lineRule="auto"/>
              <w:rPr>
                <w:sz w:val="24"/>
                <w:szCs w:val="24"/>
              </w:rPr>
            </w:pPr>
            <w:r w:rsidRPr="00F170A7">
              <w:rPr>
                <w:sz w:val="24"/>
                <w:szCs w:val="24"/>
              </w:rPr>
              <w:t>We asked (focus of consultation)</w:t>
            </w:r>
          </w:p>
        </w:tc>
      </w:tr>
      <w:tr w:rsidR="00302F4A" w:rsidRPr="00F170A7" w:rsidTr="009652AC">
        <w:trPr>
          <w:trHeight w:val="265"/>
        </w:trPr>
        <w:tc>
          <w:tcPr>
            <w:tcW w:w="4815" w:type="dxa"/>
          </w:tcPr>
          <w:p w:rsidR="00302F4A" w:rsidRPr="00F170A7" w:rsidRDefault="00302F4A" w:rsidP="00302F4A">
            <w:pPr>
              <w:rPr>
                <w:sz w:val="24"/>
                <w:szCs w:val="24"/>
              </w:rPr>
            </w:pPr>
            <w:r w:rsidRPr="00F170A7">
              <w:rPr>
                <w:sz w:val="24"/>
                <w:szCs w:val="24"/>
              </w:rPr>
              <w:t>Helensburgh and Lomond Housing Market Study</w:t>
            </w:r>
          </w:p>
          <w:p w:rsidR="00302F4A" w:rsidRPr="00F170A7" w:rsidRDefault="00302F4A" w:rsidP="00302F4A">
            <w:pPr>
              <w:rPr>
                <w:sz w:val="24"/>
                <w:szCs w:val="24"/>
              </w:rPr>
            </w:pPr>
          </w:p>
          <w:p w:rsidR="00302F4A" w:rsidRPr="00F170A7" w:rsidRDefault="00302F4A" w:rsidP="00302F4A">
            <w:pPr>
              <w:rPr>
                <w:sz w:val="24"/>
                <w:szCs w:val="24"/>
              </w:rPr>
            </w:pPr>
          </w:p>
        </w:tc>
        <w:tc>
          <w:tcPr>
            <w:tcW w:w="4961" w:type="dxa"/>
          </w:tcPr>
          <w:p w:rsidR="00302F4A" w:rsidRPr="00F170A7" w:rsidRDefault="00302F4A" w:rsidP="00302F4A">
            <w:pPr>
              <w:rPr>
                <w:sz w:val="24"/>
                <w:szCs w:val="24"/>
              </w:rPr>
            </w:pPr>
            <w:r w:rsidRPr="00F170A7">
              <w:rPr>
                <w:sz w:val="24"/>
                <w:szCs w:val="24"/>
              </w:rPr>
              <w:t>Apart from the impact of increased workforce at the Naval Base, and a small requirement for specialist provision particularly in the Helensburgh Corridor, there is minimal existing need for additional supply beyond the proposed programme of development. The majority of local residents are satisfactorily accommodated and do not require, or intend, to move in the next few years.</w:t>
            </w:r>
          </w:p>
        </w:tc>
        <w:tc>
          <w:tcPr>
            <w:tcW w:w="4678" w:type="dxa"/>
          </w:tcPr>
          <w:p w:rsidR="00302F4A" w:rsidRPr="00F170A7" w:rsidRDefault="00302F4A" w:rsidP="00302F4A">
            <w:pPr>
              <w:rPr>
                <w:sz w:val="24"/>
                <w:szCs w:val="24"/>
              </w:rPr>
            </w:pPr>
            <w:r w:rsidRPr="00F170A7">
              <w:rPr>
                <w:sz w:val="24"/>
                <w:szCs w:val="24"/>
              </w:rPr>
              <w:t>The HMA will continue to be monitored and Housing Supply Targets for the next LHS will take account of the findings from this consultation together with further updated analysis. The findings will also inform the priorities, outcomes &amp; action plan that will be developed for the next LHS in 2021.</w:t>
            </w:r>
          </w:p>
        </w:tc>
      </w:tr>
    </w:tbl>
    <w:p w:rsidR="00A22CEA" w:rsidRPr="001760C9" w:rsidRDefault="00A22CEA" w:rsidP="00A22CEA">
      <w:pPr>
        <w:spacing w:after="0" w:line="240" w:lineRule="auto"/>
        <w:rPr>
          <w:rFonts w:ascii="Arial" w:hAnsi="Arial" w:cs="Arial"/>
          <w:sz w:val="20"/>
          <w:szCs w:val="24"/>
        </w:rPr>
      </w:pPr>
    </w:p>
    <w:tbl>
      <w:tblPr>
        <w:tblStyle w:val="TableGrid1"/>
        <w:tblW w:w="14454" w:type="dxa"/>
        <w:tblLook w:val="04A0" w:firstRow="1" w:lastRow="0" w:firstColumn="1" w:lastColumn="0" w:noHBand="0" w:noVBand="1"/>
      </w:tblPr>
      <w:tblGrid>
        <w:gridCol w:w="4815"/>
        <w:gridCol w:w="4961"/>
        <w:gridCol w:w="4678"/>
      </w:tblGrid>
      <w:tr w:rsidR="00CA6A00" w:rsidRPr="00F170A7" w:rsidTr="005A3C44">
        <w:trPr>
          <w:trHeight w:val="397"/>
        </w:trPr>
        <w:tc>
          <w:tcPr>
            <w:tcW w:w="14454" w:type="dxa"/>
            <w:gridSpan w:val="3"/>
            <w:shd w:val="clear" w:color="auto" w:fill="DBDBDB" w:themeFill="accent3" w:themeFillTint="66"/>
            <w:vAlign w:val="center"/>
          </w:tcPr>
          <w:p w:rsidR="00CA6A00" w:rsidRPr="00F170A7" w:rsidRDefault="00CA6A00" w:rsidP="005A3C44">
            <w:pPr>
              <w:spacing w:after="0" w:line="240" w:lineRule="auto"/>
              <w:rPr>
                <w:b/>
                <w:sz w:val="24"/>
                <w:szCs w:val="24"/>
              </w:rPr>
            </w:pPr>
            <w:r w:rsidRPr="00F170A7">
              <w:rPr>
                <w:b/>
                <w:sz w:val="24"/>
                <w:szCs w:val="24"/>
              </w:rPr>
              <w:t xml:space="preserve">Supports Business Outcome </w:t>
            </w:r>
            <w:r w:rsidRPr="00F170A7">
              <w:rPr>
                <w:b/>
                <w:sz w:val="24"/>
                <w:szCs w:val="24"/>
                <w:lang w:val="en-US"/>
              </w:rPr>
              <w:t>28</w:t>
            </w:r>
            <w:r w:rsidRPr="00F170A7">
              <w:rPr>
                <w:b/>
                <w:sz w:val="24"/>
                <w:szCs w:val="24"/>
                <w:lang w:val="en-US"/>
              </w:rPr>
              <w:t xml:space="preserve"> – </w:t>
            </w:r>
            <w:r w:rsidRPr="00F170A7">
              <w:rPr>
                <w:b/>
                <w:sz w:val="24"/>
                <w:szCs w:val="24"/>
              </w:rPr>
              <w:t>Our processes and business procedures are efficient, cost effective and compliant.</w:t>
            </w:r>
          </w:p>
        </w:tc>
      </w:tr>
      <w:tr w:rsidR="00CA6A00" w:rsidRPr="00F170A7" w:rsidTr="005A3C44">
        <w:trPr>
          <w:trHeight w:val="397"/>
        </w:trPr>
        <w:tc>
          <w:tcPr>
            <w:tcW w:w="4815" w:type="dxa"/>
            <w:shd w:val="clear" w:color="auto" w:fill="DEEAF6" w:themeFill="accent1" w:themeFillTint="33"/>
            <w:vAlign w:val="center"/>
          </w:tcPr>
          <w:p w:rsidR="00CA6A00" w:rsidRPr="00F170A7" w:rsidRDefault="00CA6A00" w:rsidP="005A3C44">
            <w:pPr>
              <w:spacing w:after="0" w:line="240" w:lineRule="auto"/>
              <w:rPr>
                <w:sz w:val="24"/>
                <w:szCs w:val="24"/>
              </w:rPr>
            </w:pPr>
            <w:r w:rsidRPr="00F170A7">
              <w:rPr>
                <w:sz w:val="24"/>
                <w:szCs w:val="24"/>
              </w:rPr>
              <w:t>We asked (focus of consultation)</w:t>
            </w:r>
          </w:p>
        </w:tc>
        <w:tc>
          <w:tcPr>
            <w:tcW w:w="4961" w:type="dxa"/>
            <w:shd w:val="clear" w:color="auto" w:fill="DEEAF6" w:themeFill="accent1" w:themeFillTint="33"/>
            <w:vAlign w:val="center"/>
          </w:tcPr>
          <w:p w:rsidR="00CA6A00" w:rsidRPr="00F170A7" w:rsidRDefault="00CA6A00" w:rsidP="005A3C44">
            <w:pPr>
              <w:spacing w:after="0" w:line="240" w:lineRule="auto"/>
              <w:rPr>
                <w:sz w:val="24"/>
                <w:szCs w:val="24"/>
              </w:rPr>
            </w:pPr>
            <w:r w:rsidRPr="00F170A7">
              <w:rPr>
                <w:sz w:val="24"/>
                <w:szCs w:val="24"/>
              </w:rPr>
              <w:t>We asked (focus of consultation)</w:t>
            </w:r>
          </w:p>
        </w:tc>
        <w:tc>
          <w:tcPr>
            <w:tcW w:w="4678" w:type="dxa"/>
            <w:shd w:val="clear" w:color="auto" w:fill="DEEAF6" w:themeFill="accent1" w:themeFillTint="33"/>
            <w:vAlign w:val="center"/>
          </w:tcPr>
          <w:p w:rsidR="00CA6A00" w:rsidRPr="00F170A7" w:rsidRDefault="00CA6A00" w:rsidP="005A3C44">
            <w:pPr>
              <w:spacing w:after="0" w:line="240" w:lineRule="auto"/>
              <w:rPr>
                <w:sz w:val="24"/>
                <w:szCs w:val="24"/>
              </w:rPr>
            </w:pPr>
            <w:r w:rsidRPr="00F170A7">
              <w:rPr>
                <w:sz w:val="24"/>
                <w:szCs w:val="24"/>
              </w:rPr>
              <w:t>We asked (focus of consultation)</w:t>
            </w:r>
          </w:p>
        </w:tc>
      </w:tr>
      <w:tr w:rsidR="00CA6A00" w:rsidRPr="00F170A7" w:rsidTr="005A3C44">
        <w:trPr>
          <w:trHeight w:val="265"/>
        </w:trPr>
        <w:tc>
          <w:tcPr>
            <w:tcW w:w="4815" w:type="dxa"/>
          </w:tcPr>
          <w:p w:rsidR="00CA6A00" w:rsidRPr="00F170A7" w:rsidRDefault="00CA6A00" w:rsidP="00CA6A00">
            <w:pPr>
              <w:rPr>
                <w:sz w:val="24"/>
                <w:szCs w:val="24"/>
              </w:rPr>
            </w:pPr>
            <w:r w:rsidRPr="00F170A7">
              <w:rPr>
                <w:sz w:val="24"/>
                <w:szCs w:val="24"/>
              </w:rPr>
              <w:t>Sought the views of our citizens as part of the budget process</w:t>
            </w:r>
          </w:p>
          <w:p w:rsidR="00CA6A00" w:rsidRPr="00F170A7" w:rsidRDefault="00CA6A00" w:rsidP="00CA6A00">
            <w:pPr>
              <w:rPr>
                <w:sz w:val="24"/>
                <w:szCs w:val="24"/>
              </w:rPr>
            </w:pPr>
          </w:p>
          <w:p w:rsidR="00CA6A00" w:rsidRPr="00F170A7" w:rsidRDefault="00CA6A00" w:rsidP="00CA6A00">
            <w:pPr>
              <w:rPr>
                <w:sz w:val="24"/>
                <w:szCs w:val="24"/>
              </w:rPr>
            </w:pPr>
          </w:p>
        </w:tc>
        <w:tc>
          <w:tcPr>
            <w:tcW w:w="4961" w:type="dxa"/>
          </w:tcPr>
          <w:p w:rsidR="00CA6A00" w:rsidRPr="00F170A7" w:rsidRDefault="00CA6A00" w:rsidP="00CA6A00">
            <w:pPr>
              <w:rPr>
                <w:sz w:val="24"/>
                <w:szCs w:val="24"/>
              </w:rPr>
            </w:pPr>
            <w:r w:rsidRPr="00F170A7">
              <w:rPr>
                <w:sz w:val="24"/>
                <w:szCs w:val="24"/>
              </w:rPr>
              <w:t>A good response was received to the budget consultation.</w:t>
            </w:r>
          </w:p>
        </w:tc>
        <w:tc>
          <w:tcPr>
            <w:tcW w:w="4678" w:type="dxa"/>
          </w:tcPr>
          <w:p w:rsidR="00CA6A00" w:rsidRPr="00F170A7" w:rsidRDefault="00CA6A00" w:rsidP="00CA6A00">
            <w:pPr>
              <w:rPr>
                <w:sz w:val="24"/>
                <w:szCs w:val="24"/>
              </w:rPr>
            </w:pPr>
            <w:r w:rsidRPr="00F170A7">
              <w:rPr>
                <w:sz w:val="24"/>
                <w:szCs w:val="24"/>
              </w:rPr>
              <w:t xml:space="preserve">The findings from the consultation exercise were considered by Members as part of the budget. </w:t>
            </w:r>
          </w:p>
        </w:tc>
      </w:tr>
      <w:tr w:rsidR="00CA6A00" w:rsidRPr="00F170A7" w:rsidTr="005A3C44">
        <w:trPr>
          <w:trHeight w:val="265"/>
        </w:trPr>
        <w:tc>
          <w:tcPr>
            <w:tcW w:w="4815" w:type="dxa"/>
          </w:tcPr>
          <w:p w:rsidR="00CA6A00" w:rsidRPr="00F170A7" w:rsidRDefault="00CA6A00" w:rsidP="00CA6A00">
            <w:pPr>
              <w:rPr>
                <w:sz w:val="24"/>
                <w:szCs w:val="24"/>
              </w:rPr>
            </w:pPr>
            <w:r w:rsidRPr="00F170A7">
              <w:rPr>
                <w:sz w:val="24"/>
                <w:szCs w:val="24"/>
              </w:rPr>
              <w:t>Client surveys at the end of each internal audit.</w:t>
            </w:r>
          </w:p>
          <w:p w:rsidR="00CA6A00" w:rsidRPr="00F170A7" w:rsidRDefault="00CA6A00" w:rsidP="00CA6A00">
            <w:pPr>
              <w:rPr>
                <w:sz w:val="24"/>
                <w:szCs w:val="24"/>
              </w:rPr>
            </w:pPr>
          </w:p>
        </w:tc>
        <w:tc>
          <w:tcPr>
            <w:tcW w:w="4961" w:type="dxa"/>
          </w:tcPr>
          <w:p w:rsidR="00CA6A00" w:rsidRPr="00F170A7" w:rsidRDefault="00CA6A00" w:rsidP="00CA6A00">
            <w:pPr>
              <w:rPr>
                <w:sz w:val="24"/>
                <w:szCs w:val="24"/>
              </w:rPr>
            </w:pPr>
            <w:r w:rsidRPr="00F170A7">
              <w:rPr>
                <w:sz w:val="24"/>
                <w:szCs w:val="24"/>
              </w:rPr>
              <w:t xml:space="preserve">Responses are generally positive. </w:t>
            </w:r>
          </w:p>
        </w:tc>
        <w:tc>
          <w:tcPr>
            <w:tcW w:w="4678" w:type="dxa"/>
          </w:tcPr>
          <w:p w:rsidR="00CA6A00" w:rsidRPr="00F170A7" w:rsidRDefault="00CA6A00" w:rsidP="00CA6A00">
            <w:pPr>
              <w:rPr>
                <w:sz w:val="24"/>
                <w:szCs w:val="24"/>
              </w:rPr>
            </w:pPr>
            <w:r w:rsidRPr="00F170A7">
              <w:rPr>
                <w:sz w:val="24"/>
                <w:szCs w:val="24"/>
              </w:rPr>
              <w:t xml:space="preserve">Each area of improvement is discussed at the Internal Audit Team development sessions to improve on future audit experiences. </w:t>
            </w:r>
          </w:p>
        </w:tc>
      </w:tr>
    </w:tbl>
    <w:p w:rsidR="00E81DB3" w:rsidRDefault="00E81DB3" w:rsidP="00A22CEA">
      <w:pPr>
        <w:spacing w:after="0" w:line="240" w:lineRule="auto"/>
        <w:rPr>
          <w:sz w:val="18"/>
        </w:rPr>
      </w:pPr>
    </w:p>
    <w:p w:rsidR="00CA6A00" w:rsidRDefault="00CA6A00" w:rsidP="00A22CEA">
      <w:pPr>
        <w:spacing w:after="0" w:line="240" w:lineRule="auto"/>
        <w:rPr>
          <w:sz w:val="18"/>
        </w:rPr>
      </w:pPr>
    </w:p>
    <w:p w:rsidR="00CA6A00" w:rsidRDefault="00CA6A00" w:rsidP="00A22CEA">
      <w:pPr>
        <w:spacing w:after="0" w:line="240" w:lineRule="auto"/>
        <w:rPr>
          <w:sz w:val="18"/>
        </w:rPr>
      </w:pPr>
    </w:p>
    <w:p w:rsidR="00CA6A00" w:rsidRDefault="00CA6A00" w:rsidP="00A22CEA">
      <w:pPr>
        <w:spacing w:after="0" w:line="240" w:lineRule="auto"/>
        <w:rPr>
          <w:sz w:val="18"/>
        </w:rPr>
      </w:pPr>
    </w:p>
    <w:p w:rsidR="00CA6A00" w:rsidRDefault="00CA6A00" w:rsidP="00A22CEA">
      <w:pPr>
        <w:spacing w:after="0" w:line="240" w:lineRule="auto"/>
        <w:rPr>
          <w:sz w:val="18"/>
        </w:rPr>
      </w:pPr>
    </w:p>
    <w:p w:rsidR="00CA6A00" w:rsidRDefault="00CA6A00" w:rsidP="00A22CEA">
      <w:pPr>
        <w:spacing w:after="0" w:line="240" w:lineRule="auto"/>
        <w:rPr>
          <w:sz w:val="18"/>
        </w:rPr>
      </w:pPr>
    </w:p>
    <w:p w:rsidR="00CA6A00" w:rsidRDefault="00CA6A00" w:rsidP="00A22CEA">
      <w:pPr>
        <w:spacing w:after="0" w:line="240" w:lineRule="auto"/>
        <w:rPr>
          <w:sz w:val="18"/>
        </w:rPr>
      </w:pPr>
    </w:p>
    <w:p w:rsidR="00CA6A00" w:rsidRDefault="00CA6A00" w:rsidP="00A22CEA">
      <w:pPr>
        <w:spacing w:after="0" w:line="240" w:lineRule="auto"/>
        <w:rPr>
          <w:sz w:val="18"/>
        </w:rPr>
      </w:pPr>
    </w:p>
    <w:p w:rsidR="00CA6A00" w:rsidRDefault="00CA6A00" w:rsidP="00A22CEA">
      <w:pPr>
        <w:spacing w:after="0" w:line="240" w:lineRule="auto"/>
        <w:rPr>
          <w:sz w:val="18"/>
        </w:rPr>
      </w:pPr>
    </w:p>
    <w:p w:rsidR="00CA6A00" w:rsidRPr="001760C9" w:rsidRDefault="00CA6A00" w:rsidP="00A22CEA">
      <w:pPr>
        <w:spacing w:after="0" w:line="240" w:lineRule="auto"/>
        <w:rPr>
          <w:sz w:val="18"/>
        </w:rPr>
      </w:pPr>
    </w:p>
    <w:tbl>
      <w:tblPr>
        <w:tblStyle w:val="TableGrid1"/>
        <w:tblW w:w="0" w:type="auto"/>
        <w:tblLayout w:type="fixed"/>
        <w:tblLook w:val="04A0" w:firstRow="1" w:lastRow="0" w:firstColumn="1" w:lastColumn="0" w:noHBand="0" w:noVBand="1"/>
      </w:tblPr>
      <w:tblGrid>
        <w:gridCol w:w="4815"/>
        <w:gridCol w:w="4961"/>
        <w:gridCol w:w="4678"/>
      </w:tblGrid>
      <w:tr w:rsidR="0022553E" w:rsidRPr="00F170A7" w:rsidTr="003D3A39">
        <w:trPr>
          <w:trHeight w:val="397"/>
        </w:trPr>
        <w:tc>
          <w:tcPr>
            <w:tcW w:w="14454" w:type="dxa"/>
            <w:gridSpan w:val="3"/>
            <w:shd w:val="clear" w:color="auto" w:fill="DBDBDB" w:themeFill="accent3" w:themeFillTint="66"/>
            <w:vAlign w:val="center"/>
          </w:tcPr>
          <w:p w:rsidR="0022553E" w:rsidRPr="00F170A7" w:rsidRDefault="0022553E" w:rsidP="003D3A39">
            <w:pPr>
              <w:spacing w:after="0" w:line="240" w:lineRule="auto"/>
              <w:rPr>
                <w:b/>
                <w:sz w:val="24"/>
                <w:szCs w:val="24"/>
              </w:rPr>
            </w:pPr>
            <w:r w:rsidRPr="00F170A7">
              <w:rPr>
                <w:b/>
                <w:sz w:val="24"/>
                <w:szCs w:val="24"/>
              </w:rPr>
              <w:t>Supports Business Outcome 30 – We engage with our customers, staff and partners</w:t>
            </w:r>
          </w:p>
        </w:tc>
      </w:tr>
      <w:tr w:rsidR="0022553E" w:rsidRPr="00F170A7" w:rsidTr="003D3A39">
        <w:trPr>
          <w:trHeight w:val="397"/>
        </w:trPr>
        <w:tc>
          <w:tcPr>
            <w:tcW w:w="4815" w:type="dxa"/>
            <w:shd w:val="clear" w:color="auto" w:fill="DEEAF6" w:themeFill="accent1" w:themeFillTint="33"/>
            <w:vAlign w:val="center"/>
          </w:tcPr>
          <w:p w:rsidR="0022553E" w:rsidRPr="00F170A7" w:rsidRDefault="0022553E" w:rsidP="003D3A39">
            <w:pPr>
              <w:spacing w:after="0" w:line="240" w:lineRule="auto"/>
              <w:rPr>
                <w:sz w:val="24"/>
                <w:szCs w:val="24"/>
              </w:rPr>
            </w:pPr>
            <w:r w:rsidRPr="00F170A7">
              <w:rPr>
                <w:sz w:val="24"/>
                <w:szCs w:val="24"/>
              </w:rPr>
              <w:t>We asked (focus of consultation)</w:t>
            </w:r>
          </w:p>
        </w:tc>
        <w:tc>
          <w:tcPr>
            <w:tcW w:w="4961" w:type="dxa"/>
            <w:shd w:val="clear" w:color="auto" w:fill="DEEAF6" w:themeFill="accent1" w:themeFillTint="33"/>
            <w:vAlign w:val="center"/>
          </w:tcPr>
          <w:p w:rsidR="0022553E" w:rsidRPr="00F170A7" w:rsidRDefault="0022553E" w:rsidP="003D3A39">
            <w:pPr>
              <w:spacing w:after="0" w:line="240" w:lineRule="auto"/>
              <w:rPr>
                <w:sz w:val="24"/>
                <w:szCs w:val="24"/>
              </w:rPr>
            </w:pPr>
            <w:r w:rsidRPr="00F170A7">
              <w:rPr>
                <w:sz w:val="24"/>
                <w:szCs w:val="24"/>
              </w:rPr>
              <w:t>You said (customer response)</w:t>
            </w:r>
          </w:p>
        </w:tc>
        <w:tc>
          <w:tcPr>
            <w:tcW w:w="4678" w:type="dxa"/>
            <w:shd w:val="clear" w:color="auto" w:fill="DEEAF6" w:themeFill="accent1" w:themeFillTint="33"/>
            <w:vAlign w:val="center"/>
          </w:tcPr>
          <w:p w:rsidR="0022553E" w:rsidRPr="00F170A7" w:rsidRDefault="0022553E" w:rsidP="003D3A39">
            <w:pPr>
              <w:spacing w:after="0" w:line="240" w:lineRule="auto"/>
              <w:rPr>
                <w:sz w:val="24"/>
                <w:szCs w:val="24"/>
              </w:rPr>
            </w:pPr>
            <w:r w:rsidRPr="00F170A7">
              <w:rPr>
                <w:sz w:val="24"/>
                <w:szCs w:val="24"/>
              </w:rPr>
              <w:t>We did (improvement actions)</w:t>
            </w:r>
          </w:p>
        </w:tc>
      </w:tr>
      <w:tr w:rsidR="0022553E" w:rsidRPr="00F170A7" w:rsidTr="003D3A39">
        <w:trPr>
          <w:trHeight w:val="708"/>
        </w:trPr>
        <w:tc>
          <w:tcPr>
            <w:tcW w:w="4815" w:type="dxa"/>
          </w:tcPr>
          <w:p w:rsidR="0022553E" w:rsidRPr="00F170A7" w:rsidRDefault="0022553E" w:rsidP="003D3A39">
            <w:pPr>
              <w:rPr>
                <w:sz w:val="24"/>
                <w:szCs w:val="24"/>
              </w:rPr>
            </w:pPr>
            <w:r w:rsidRPr="00F170A7">
              <w:rPr>
                <w:sz w:val="24"/>
                <w:szCs w:val="24"/>
              </w:rPr>
              <w:t>We asked for opinion on what our Equalities Outcomes Should be</w:t>
            </w:r>
          </w:p>
        </w:tc>
        <w:tc>
          <w:tcPr>
            <w:tcW w:w="4961" w:type="dxa"/>
          </w:tcPr>
          <w:p w:rsidR="0022553E" w:rsidRPr="00F170A7" w:rsidRDefault="0022553E" w:rsidP="003D3A39">
            <w:pPr>
              <w:rPr>
                <w:sz w:val="24"/>
                <w:szCs w:val="24"/>
              </w:rPr>
            </w:pPr>
            <w:r w:rsidRPr="00F170A7">
              <w:rPr>
                <w:sz w:val="24"/>
                <w:szCs w:val="24"/>
              </w:rPr>
              <w:t>Largely you were happy with our proposals and we took on board some comments around gender and sex</w:t>
            </w:r>
          </w:p>
        </w:tc>
        <w:tc>
          <w:tcPr>
            <w:tcW w:w="4678" w:type="dxa"/>
          </w:tcPr>
          <w:p w:rsidR="0022553E" w:rsidRPr="00F170A7" w:rsidRDefault="0022553E" w:rsidP="003D3A39">
            <w:pPr>
              <w:rPr>
                <w:sz w:val="24"/>
                <w:szCs w:val="24"/>
              </w:rPr>
            </w:pPr>
            <w:r w:rsidRPr="00F170A7">
              <w:rPr>
                <w:sz w:val="24"/>
                <w:szCs w:val="24"/>
              </w:rPr>
              <w:t>We developed our new equalities outcomes and these have now been published</w:t>
            </w:r>
          </w:p>
        </w:tc>
      </w:tr>
      <w:tr w:rsidR="0022553E" w:rsidRPr="00F170A7" w:rsidTr="003D3A39">
        <w:trPr>
          <w:trHeight w:val="265"/>
        </w:trPr>
        <w:tc>
          <w:tcPr>
            <w:tcW w:w="4815" w:type="dxa"/>
          </w:tcPr>
          <w:p w:rsidR="0022553E" w:rsidRPr="00F170A7" w:rsidRDefault="0022553E" w:rsidP="003D3A39">
            <w:pPr>
              <w:rPr>
                <w:sz w:val="24"/>
                <w:szCs w:val="24"/>
              </w:rPr>
            </w:pPr>
            <w:r w:rsidRPr="00F170A7">
              <w:rPr>
                <w:sz w:val="24"/>
                <w:szCs w:val="24"/>
              </w:rPr>
              <w:t>We asked employees about their wellbeing, what impacts it and what areas they would like to improve</w:t>
            </w:r>
          </w:p>
        </w:tc>
        <w:tc>
          <w:tcPr>
            <w:tcW w:w="4961" w:type="dxa"/>
          </w:tcPr>
          <w:p w:rsidR="0022553E" w:rsidRPr="00F170A7" w:rsidRDefault="0022553E" w:rsidP="003D3A39">
            <w:pPr>
              <w:rPr>
                <w:sz w:val="24"/>
                <w:szCs w:val="24"/>
              </w:rPr>
            </w:pPr>
            <w:r w:rsidRPr="00F170A7">
              <w:rPr>
                <w:sz w:val="24"/>
                <w:szCs w:val="24"/>
              </w:rPr>
              <w:t>Staff identified a number of areas where they would like education and support to improve their wellbeing</w:t>
            </w:r>
          </w:p>
        </w:tc>
        <w:tc>
          <w:tcPr>
            <w:tcW w:w="4678" w:type="dxa"/>
          </w:tcPr>
          <w:p w:rsidR="0022553E" w:rsidRPr="00F170A7" w:rsidRDefault="0022553E" w:rsidP="003D3A39">
            <w:pPr>
              <w:rPr>
                <w:sz w:val="24"/>
                <w:szCs w:val="24"/>
              </w:rPr>
            </w:pPr>
            <w:r w:rsidRPr="00F170A7">
              <w:rPr>
                <w:sz w:val="24"/>
                <w:szCs w:val="24"/>
              </w:rPr>
              <w:t>We developed a wellbeing strategy with an action plan</w:t>
            </w:r>
          </w:p>
        </w:tc>
      </w:tr>
      <w:tr w:rsidR="0022553E" w:rsidRPr="00F170A7" w:rsidTr="003D3A39">
        <w:trPr>
          <w:trHeight w:val="265"/>
        </w:trPr>
        <w:tc>
          <w:tcPr>
            <w:tcW w:w="4815" w:type="dxa"/>
          </w:tcPr>
          <w:p w:rsidR="0022553E" w:rsidRPr="00F170A7" w:rsidRDefault="0022553E" w:rsidP="003D3A39">
            <w:pPr>
              <w:rPr>
                <w:sz w:val="24"/>
                <w:szCs w:val="24"/>
              </w:rPr>
            </w:pPr>
            <w:r w:rsidRPr="00F170A7">
              <w:rPr>
                <w:sz w:val="24"/>
                <w:szCs w:val="24"/>
              </w:rPr>
              <w:t xml:space="preserve">Customer surveys were undertaken across the specific areas of environmental health and trading standards </w:t>
            </w:r>
          </w:p>
        </w:tc>
        <w:tc>
          <w:tcPr>
            <w:tcW w:w="4961" w:type="dxa"/>
          </w:tcPr>
          <w:p w:rsidR="0022553E" w:rsidRPr="00F170A7" w:rsidRDefault="0022553E" w:rsidP="003D3A39">
            <w:pPr>
              <w:rPr>
                <w:sz w:val="24"/>
                <w:szCs w:val="24"/>
              </w:rPr>
            </w:pPr>
            <w:r w:rsidRPr="00F170A7">
              <w:rPr>
                <w:sz w:val="24"/>
                <w:szCs w:val="24"/>
              </w:rPr>
              <w:t>93% of customers were very satisfied with the overall service they received.100% felt that our advice had helped them with regards to their health (feeling less stressed) and better able to manage the payment of their bills (Debt counselling)</w:t>
            </w:r>
          </w:p>
        </w:tc>
        <w:tc>
          <w:tcPr>
            <w:tcW w:w="4678" w:type="dxa"/>
          </w:tcPr>
          <w:p w:rsidR="0022553E" w:rsidRPr="00F170A7" w:rsidRDefault="0022553E" w:rsidP="003D3A39">
            <w:pPr>
              <w:spacing w:after="200" w:line="276" w:lineRule="auto"/>
              <w:contextualSpacing/>
              <w:rPr>
                <w:sz w:val="24"/>
                <w:szCs w:val="24"/>
              </w:rPr>
            </w:pPr>
            <w:r w:rsidRPr="00F170A7">
              <w:rPr>
                <w:sz w:val="24"/>
                <w:szCs w:val="24"/>
              </w:rPr>
              <w:t xml:space="preserve">We achieved the Customer Services Excellence award </w:t>
            </w:r>
          </w:p>
          <w:p w:rsidR="0022553E" w:rsidRPr="00F170A7" w:rsidRDefault="0022553E" w:rsidP="003D3A39">
            <w:pPr>
              <w:spacing w:after="200" w:line="276" w:lineRule="auto"/>
              <w:contextualSpacing/>
              <w:rPr>
                <w:sz w:val="24"/>
                <w:szCs w:val="24"/>
              </w:rPr>
            </w:pPr>
          </w:p>
          <w:p w:rsidR="0022553E" w:rsidRPr="00F170A7" w:rsidRDefault="0022553E" w:rsidP="003D3A39">
            <w:pPr>
              <w:spacing w:after="200" w:line="276" w:lineRule="auto"/>
              <w:contextualSpacing/>
              <w:rPr>
                <w:sz w:val="24"/>
                <w:szCs w:val="24"/>
              </w:rPr>
            </w:pPr>
          </w:p>
        </w:tc>
      </w:tr>
      <w:tr w:rsidR="0022553E" w:rsidRPr="00F170A7" w:rsidTr="003D3A39">
        <w:trPr>
          <w:trHeight w:val="265"/>
        </w:trPr>
        <w:tc>
          <w:tcPr>
            <w:tcW w:w="4815" w:type="dxa"/>
          </w:tcPr>
          <w:p w:rsidR="0022553E" w:rsidRPr="00F170A7" w:rsidRDefault="0022553E" w:rsidP="003D3A39">
            <w:pPr>
              <w:rPr>
                <w:sz w:val="24"/>
                <w:szCs w:val="24"/>
              </w:rPr>
            </w:pPr>
            <w:r w:rsidRPr="00F170A7">
              <w:rPr>
                <w:sz w:val="24"/>
                <w:szCs w:val="24"/>
              </w:rPr>
              <w:t>As part of a request via the new Participation Request route open to communities in the Community Empowerment Act, we asked the Helensburgh Community Council how they would like to be more involved with the Council in terms of road improvements</w:t>
            </w:r>
          </w:p>
        </w:tc>
        <w:tc>
          <w:tcPr>
            <w:tcW w:w="4961" w:type="dxa"/>
          </w:tcPr>
          <w:p w:rsidR="0022553E" w:rsidRPr="00F170A7" w:rsidRDefault="0022553E" w:rsidP="003D3A39">
            <w:pPr>
              <w:rPr>
                <w:sz w:val="24"/>
                <w:szCs w:val="24"/>
              </w:rPr>
            </w:pPr>
            <w:r w:rsidRPr="00F170A7">
              <w:rPr>
                <w:sz w:val="24"/>
                <w:szCs w:val="24"/>
              </w:rPr>
              <w:t>The Community Council wished to address:</w:t>
            </w:r>
          </w:p>
          <w:p w:rsidR="0022553E" w:rsidRPr="00F170A7" w:rsidRDefault="0022553E" w:rsidP="003D3A39">
            <w:pPr>
              <w:rPr>
                <w:sz w:val="24"/>
                <w:szCs w:val="24"/>
              </w:rPr>
            </w:pPr>
            <w:r w:rsidRPr="00F170A7">
              <w:rPr>
                <w:sz w:val="24"/>
                <w:szCs w:val="24"/>
              </w:rPr>
              <w:t>“The conjunction of the expectations of the Helensburgh community for well-maintained roads, pavements and road infrastructure with the reality of finite council support resources”</w:t>
            </w:r>
          </w:p>
        </w:tc>
        <w:tc>
          <w:tcPr>
            <w:tcW w:w="4678" w:type="dxa"/>
          </w:tcPr>
          <w:p w:rsidR="0022553E" w:rsidRPr="00F170A7" w:rsidRDefault="0022553E" w:rsidP="003D3A39">
            <w:pPr>
              <w:rPr>
                <w:sz w:val="24"/>
                <w:szCs w:val="24"/>
              </w:rPr>
            </w:pPr>
            <w:r w:rsidRPr="00F170A7">
              <w:rPr>
                <w:sz w:val="24"/>
                <w:szCs w:val="24"/>
              </w:rPr>
              <w:t>We now hold regular meetings with the Helensburgh Community Council to discuss local issues and building better communications.</w:t>
            </w:r>
          </w:p>
        </w:tc>
      </w:tr>
    </w:tbl>
    <w:p w:rsidR="00615FBA" w:rsidRPr="001760C9" w:rsidRDefault="00615FBA" w:rsidP="00F170A7">
      <w:pPr>
        <w:spacing w:after="0" w:line="240" w:lineRule="auto"/>
        <w:rPr>
          <w:sz w:val="20"/>
        </w:rPr>
      </w:pPr>
      <w:bookmarkStart w:id="0" w:name="_GoBack"/>
      <w:bookmarkEnd w:id="0"/>
    </w:p>
    <w:sectPr w:rsidR="00615FBA" w:rsidRPr="001760C9" w:rsidSect="00615FBA">
      <w:pgSz w:w="16838" w:h="11906" w:orient="landscape"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F4A" w:rsidRDefault="00302F4A" w:rsidP="00302F4A">
      <w:pPr>
        <w:spacing w:after="0" w:line="240" w:lineRule="auto"/>
      </w:pPr>
      <w:r>
        <w:separator/>
      </w:r>
    </w:p>
  </w:endnote>
  <w:endnote w:type="continuationSeparator" w:id="0">
    <w:p w:rsidR="00302F4A" w:rsidRDefault="00302F4A" w:rsidP="0030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F4A" w:rsidRDefault="00302F4A" w:rsidP="00302F4A">
      <w:pPr>
        <w:spacing w:after="0" w:line="240" w:lineRule="auto"/>
      </w:pPr>
      <w:r>
        <w:separator/>
      </w:r>
    </w:p>
  </w:footnote>
  <w:footnote w:type="continuationSeparator" w:id="0">
    <w:p w:rsidR="00302F4A" w:rsidRDefault="00302F4A" w:rsidP="00302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81CF9"/>
    <w:multiLevelType w:val="hybridMultilevel"/>
    <w:tmpl w:val="7D1C0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EA"/>
    <w:rsid w:val="00075952"/>
    <w:rsid w:val="001760C9"/>
    <w:rsid w:val="0022553E"/>
    <w:rsid w:val="00302F4A"/>
    <w:rsid w:val="00333886"/>
    <w:rsid w:val="0036248E"/>
    <w:rsid w:val="003A7F29"/>
    <w:rsid w:val="003B5E85"/>
    <w:rsid w:val="00563E1D"/>
    <w:rsid w:val="00615FBA"/>
    <w:rsid w:val="00642C93"/>
    <w:rsid w:val="00746708"/>
    <w:rsid w:val="00763BCD"/>
    <w:rsid w:val="007A04BE"/>
    <w:rsid w:val="007F6628"/>
    <w:rsid w:val="00813F37"/>
    <w:rsid w:val="008D3D6B"/>
    <w:rsid w:val="009524C6"/>
    <w:rsid w:val="00A22CEA"/>
    <w:rsid w:val="00BB09B3"/>
    <w:rsid w:val="00C42525"/>
    <w:rsid w:val="00CA6A00"/>
    <w:rsid w:val="00E81DB3"/>
    <w:rsid w:val="00EC3C2E"/>
    <w:rsid w:val="00F170A7"/>
    <w:rsid w:val="00F56977"/>
    <w:rsid w:val="00FA2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998CB-A3F0-45A1-9E0D-35900B5F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CEA"/>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22CEA"/>
    <w:rPr>
      <w:rFonts w:ascii="Arial" w:eastAsia="Calibri" w:hAnsi="Arial" w:cs="Arial"/>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A22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CEA"/>
    <w:pPr>
      <w:ind w:left="720"/>
      <w:contextualSpacing/>
    </w:pPr>
  </w:style>
  <w:style w:type="paragraph" w:styleId="BalloonText">
    <w:name w:val="Balloon Text"/>
    <w:basedOn w:val="Normal"/>
    <w:link w:val="BalloonTextChar"/>
    <w:uiPriority w:val="99"/>
    <w:semiHidden/>
    <w:unhideWhenUsed/>
    <w:rsid w:val="00333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886"/>
    <w:rPr>
      <w:rFonts w:ascii="Segoe UI" w:hAnsi="Segoe UI" w:cs="Segoe UI"/>
      <w:sz w:val="18"/>
      <w:szCs w:val="18"/>
    </w:rPr>
  </w:style>
  <w:style w:type="paragraph" w:styleId="Header">
    <w:name w:val="header"/>
    <w:basedOn w:val="Normal"/>
    <w:link w:val="HeaderChar"/>
    <w:uiPriority w:val="99"/>
    <w:unhideWhenUsed/>
    <w:rsid w:val="00302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F4A"/>
  </w:style>
  <w:style w:type="paragraph" w:styleId="Footer">
    <w:name w:val="footer"/>
    <w:basedOn w:val="Normal"/>
    <w:link w:val="FooterChar"/>
    <w:uiPriority w:val="99"/>
    <w:unhideWhenUsed/>
    <w:rsid w:val="00302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315D3-F228-472C-B150-DEE850A8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Gillies, Lorna</dc:creator>
  <cp:keywords/>
  <dc:description/>
  <cp:lastModifiedBy>Thomas, Sonya</cp:lastModifiedBy>
  <cp:revision>5</cp:revision>
  <cp:lastPrinted>2019-04-10T14:34:00Z</cp:lastPrinted>
  <dcterms:created xsi:type="dcterms:W3CDTF">2019-06-13T08:37:00Z</dcterms:created>
  <dcterms:modified xsi:type="dcterms:W3CDTF">2019-07-17T08:45:00Z</dcterms:modified>
</cp:coreProperties>
</file>