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15" w:type="dxa"/>
        <w:tblInd w:w="-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733791" w:rsidRPr="000C1C67" w14:paraId="6E698EDC" w14:textId="77777777" w:rsidTr="003B20AC">
        <w:trPr>
          <w:trHeight w:val="991"/>
        </w:trPr>
        <w:tc>
          <w:tcPr>
            <w:tcW w:w="10915" w:type="dxa"/>
            <w:tcBorders>
              <w:top w:val="single" w:sz="12" w:space="0" w:color="auto"/>
              <w:left w:val="nil"/>
              <w:bottom w:val="single" w:sz="12" w:space="0" w:color="auto"/>
              <w:right w:val="nil"/>
            </w:tcBorders>
          </w:tcPr>
          <w:p w14:paraId="71C9ED66" w14:textId="77777777" w:rsidR="00733791" w:rsidRDefault="00733791" w:rsidP="003B20AC">
            <w:pPr>
              <w:spacing w:after="0"/>
              <w:ind w:right="-1038"/>
              <w:jc w:val="center"/>
              <w:rPr>
                <w:rFonts w:ascii="Tahoma" w:hAnsi="Tahoma" w:cs="Tahoma"/>
                <w:b/>
              </w:rPr>
            </w:pPr>
            <w:r>
              <w:rPr>
                <w:rFonts w:ascii="Tahoma" w:hAnsi="Tahoma" w:cs="Tahoma"/>
                <w:b/>
                <w:noProof/>
                <w:lang w:eastAsia="en-GB"/>
              </w:rPr>
              <w:drawing>
                <wp:anchor distT="0" distB="0" distL="114300" distR="114300" simplePos="0" relativeHeight="251660288" behindDoc="0" locked="0" layoutInCell="1" allowOverlap="1" wp14:anchorId="629A83B5" wp14:editId="5CBBA546">
                  <wp:simplePos x="0" y="0"/>
                  <wp:positionH relativeFrom="column">
                    <wp:posOffset>6013450</wp:posOffset>
                  </wp:positionH>
                  <wp:positionV relativeFrom="paragraph">
                    <wp:posOffset>51435</wp:posOffset>
                  </wp:positionV>
                  <wp:extent cx="796290" cy="686435"/>
                  <wp:effectExtent l="0" t="0" r="3810" b="0"/>
                  <wp:wrapNone/>
                  <wp:docPr id="1691336511" name="Picture 2" descr="Colou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our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96290" cy="6864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cs="Tahoma"/>
                <w:b/>
                <w:noProof/>
                <w:lang w:eastAsia="en-GB"/>
              </w:rPr>
              <w:drawing>
                <wp:anchor distT="0" distB="0" distL="114300" distR="114300" simplePos="0" relativeHeight="251659264" behindDoc="0" locked="0" layoutInCell="1" allowOverlap="1" wp14:anchorId="25C04533" wp14:editId="5C2B760A">
                  <wp:simplePos x="0" y="0"/>
                  <wp:positionH relativeFrom="column">
                    <wp:posOffset>26670</wp:posOffset>
                  </wp:positionH>
                  <wp:positionV relativeFrom="paragraph">
                    <wp:posOffset>99695</wp:posOffset>
                  </wp:positionV>
                  <wp:extent cx="1005205" cy="638175"/>
                  <wp:effectExtent l="0" t="0" r="4445" b="9525"/>
                  <wp:wrapNone/>
                  <wp:docPr id="347136607" name="Picture 1" descr="Z:\3. Local Housing Strategy\3.8 Local Housing Strategy\LHS Pictures\HS 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3. Local Housing Strategy\3.8 Local Housing Strategy\LHS Pictures\HS new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5205"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A543FC" w14:textId="77777777" w:rsidR="00733791" w:rsidRPr="00092788" w:rsidRDefault="00733791" w:rsidP="003B20AC">
            <w:pPr>
              <w:spacing w:after="0"/>
              <w:jc w:val="center"/>
              <w:rPr>
                <w:rFonts w:ascii="Tahoma" w:hAnsi="Tahoma" w:cs="Tahoma"/>
                <w:b/>
                <w:bCs/>
                <w:lang w:val="en-US"/>
              </w:rPr>
            </w:pPr>
            <w:r w:rsidRPr="00092788">
              <w:rPr>
                <w:rFonts w:ascii="Tahoma" w:hAnsi="Tahoma" w:cs="Tahoma"/>
                <w:b/>
                <w:bCs/>
                <w:lang w:val="en-US"/>
              </w:rPr>
              <w:t>HOMELESSNESS ETC (SCOTLAND) ACT 2003 - SECTION 11</w:t>
            </w:r>
          </w:p>
          <w:p w14:paraId="612E03F8" w14:textId="77777777" w:rsidR="00733791" w:rsidRPr="00092788" w:rsidRDefault="00733791" w:rsidP="003B20AC">
            <w:pPr>
              <w:spacing w:after="0"/>
              <w:jc w:val="center"/>
              <w:rPr>
                <w:rFonts w:ascii="Tahoma" w:hAnsi="Tahoma" w:cs="Tahoma"/>
                <w:b/>
                <w:bCs/>
                <w:lang w:val="en-US"/>
              </w:rPr>
            </w:pPr>
            <w:r w:rsidRPr="00092788">
              <w:rPr>
                <w:rFonts w:ascii="Tahoma" w:hAnsi="Tahoma" w:cs="Tahoma"/>
                <w:b/>
                <w:bCs/>
                <w:lang w:val="en-US"/>
              </w:rPr>
              <w:t>NOTICE BY LANDLORD OF PROCEEDINGS FOR POSSESSION</w:t>
            </w:r>
          </w:p>
          <w:p w14:paraId="3D5B30BD" w14:textId="77777777" w:rsidR="00733791" w:rsidRPr="000C1C67" w:rsidRDefault="00733791" w:rsidP="003B20AC">
            <w:pPr>
              <w:spacing w:after="0"/>
              <w:rPr>
                <w:rFonts w:ascii="Tahoma" w:hAnsi="Tahoma" w:cs="Tahoma"/>
                <w:b/>
              </w:rPr>
            </w:pPr>
          </w:p>
        </w:tc>
      </w:tr>
    </w:tbl>
    <w:p w14:paraId="36EC56CC" w14:textId="77777777" w:rsidR="007C7392" w:rsidRDefault="007C7392"/>
    <w:p w14:paraId="30CBBE0C" w14:textId="77777777" w:rsidR="00733791" w:rsidRPr="00733791" w:rsidRDefault="00733791" w:rsidP="00733791">
      <w:r w:rsidRPr="00733791">
        <w:t>If you are a social, private landlord or a creditor, you are legally required to tell the Council when you take action which puts a household at risk of homelessness due to eviction. You must do this when you submit an application to the First Tier Tribunal.</w:t>
      </w:r>
    </w:p>
    <w:p w14:paraId="1346ADC6" w14:textId="77777777" w:rsidR="00733791" w:rsidRPr="00733791" w:rsidRDefault="00733791" w:rsidP="00733791">
      <w:r w:rsidRPr="00733791">
        <w:t>This is required under Section 11 of the Homelessness Etc (Scotland) Act 2003. This legislation aims to make sure we know in advance when a household is at risk of being evicted or having their home repossessed. This allows the local authority an opportunity to offer help to households at risk at an early stage and aim to prevent homelessness.</w:t>
      </w:r>
    </w:p>
    <w:p w14:paraId="19854F7C" w14:textId="77777777" w:rsidR="00733791" w:rsidRPr="00733791" w:rsidRDefault="00733791" w:rsidP="00733791">
      <w:pPr>
        <w:rPr>
          <w:lang w:val="en-US"/>
        </w:rPr>
      </w:pPr>
      <w:r w:rsidRPr="00733791">
        <w:rPr>
          <w:lang w:val="en-US"/>
        </w:rPr>
        <w:t xml:space="preserve">You can find out more information about how we use this data at: </w:t>
      </w:r>
      <w:hyperlink r:id="rId8" w:history="1">
        <w:r w:rsidRPr="00733791">
          <w:rPr>
            <w:rStyle w:val="Hyperlink"/>
          </w:rPr>
          <w:t>Housing Service – Provision of Housing Advice - Privacy Statement | Argyll and Bute Council</w:t>
        </w:r>
      </w:hyperlink>
    </w:p>
    <w:p w14:paraId="2A47179F" w14:textId="77777777" w:rsidR="00733791" w:rsidRPr="00733791" w:rsidRDefault="00733791" w:rsidP="00733791">
      <w:pPr>
        <w:rPr>
          <w:lang w:val="en-US"/>
        </w:rPr>
      </w:pPr>
      <w:r w:rsidRPr="00733791">
        <w:rPr>
          <w:lang w:val="en-US"/>
        </w:rPr>
        <w:t xml:space="preserve">For any further information, please contact </w:t>
      </w:r>
      <w:hyperlink r:id="rId9" w:history="1">
        <w:r w:rsidRPr="00733791">
          <w:rPr>
            <w:rStyle w:val="Hyperlink"/>
            <w:lang w:val="en-US"/>
          </w:rPr>
          <w:t>section11enquiries@argyll-bute.gov.uk</w:t>
        </w:r>
      </w:hyperlink>
      <w:r w:rsidRPr="00733791">
        <w:rPr>
          <w:lang w:val="en-US"/>
        </w:rPr>
        <w:t xml:space="preserve"> </w:t>
      </w:r>
    </w:p>
    <w:p w14:paraId="046204DC" w14:textId="77777777" w:rsidR="00733791" w:rsidRPr="00733791" w:rsidRDefault="00733791" w:rsidP="00733791">
      <w:pPr>
        <w:rPr>
          <w:b/>
          <w:bCs/>
          <w:lang w:val="en-US"/>
        </w:rPr>
      </w:pPr>
      <w:r w:rsidRPr="00733791">
        <w:rPr>
          <w:b/>
          <w:bCs/>
          <w:lang w:val="en-US"/>
        </w:rPr>
        <w:t xml:space="preserve">Q1 - Name of Landlord Who Has Raised Proceedings </w:t>
      </w:r>
    </w:p>
    <w:tbl>
      <w:tblPr>
        <w:tblStyle w:val="TableGrid"/>
        <w:tblW w:w="0" w:type="auto"/>
        <w:tblLook w:val="04A0" w:firstRow="1" w:lastRow="0" w:firstColumn="1" w:lastColumn="0" w:noHBand="0" w:noVBand="1"/>
      </w:tblPr>
      <w:tblGrid>
        <w:gridCol w:w="9016"/>
      </w:tblGrid>
      <w:tr w:rsidR="00733791" w:rsidRPr="00733791" w14:paraId="0A4C5142" w14:textId="77777777" w:rsidTr="003B20AC">
        <w:tc>
          <w:tcPr>
            <w:tcW w:w="9016" w:type="dxa"/>
          </w:tcPr>
          <w:p w14:paraId="3F611415" w14:textId="77777777" w:rsidR="00733791" w:rsidRPr="00733791" w:rsidRDefault="00733791" w:rsidP="00733791">
            <w:pPr>
              <w:spacing w:after="160" w:line="278" w:lineRule="auto"/>
              <w:rPr>
                <w:lang w:val="en-US"/>
              </w:rPr>
            </w:pPr>
          </w:p>
        </w:tc>
      </w:tr>
    </w:tbl>
    <w:p w14:paraId="2CD60C79" w14:textId="77777777" w:rsidR="00733791" w:rsidRPr="00733791" w:rsidRDefault="00733791" w:rsidP="00733791"/>
    <w:p w14:paraId="2AA939FA" w14:textId="77777777" w:rsidR="00733791" w:rsidRPr="00733791" w:rsidRDefault="00733791" w:rsidP="00733791">
      <w:pPr>
        <w:rPr>
          <w:b/>
          <w:bCs/>
        </w:rPr>
      </w:pPr>
      <w:r w:rsidRPr="00733791">
        <w:rPr>
          <w:b/>
          <w:bCs/>
        </w:rPr>
        <w:t>Q2 – Address of Landlord Who Has Raised Proceedings</w:t>
      </w:r>
    </w:p>
    <w:tbl>
      <w:tblPr>
        <w:tblStyle w:val="TableGrid"/>
        <w:tblW w:w="0" w:type="auto"/>
        <w:tblLook w:val="04A0" w:firstRow="1" w:lastRow="0" w:firstColumn="1" w:lastColumn="0" w:noHBand="0" w:noVBand="1"/>
      </w:tblPr>
      <w:tblGrid>
        <w:gridCol w:w="9016"/>
      </w:tblGrid>
      <w:tr w:rsidR="00733791" w:rsidRPr="00733791" w14:paraId="48593B62" w14:textId="77777777" w:rsidTr="003B20AC">
        <w:tc>
          <w:tcPr>
            <w:tcW w:w="9016" w:type="dxa"/>
          </w:tcPr>
          <w:p w14:paraId="3921F241" w14:textId="77777777" w:rsidR="00733791" w:rsidRPr="00733791" w:rsidRDefault="00733791" w:rsidP="00733791">
            <w:pPr>
              <w:spacing w:after="160" w:line="278" w:lineRule="auto"/>
            </w:pPr>
          </w:p>
          <w:p w14:paraId="6657778F" w14:textId="77777777" w:rsidR="00733791" w:rsidRPr="00733791" w:rsidRDefault="00733791" w:rsidP="00733791">
            <w:pPr>
              <w:spacing w:after="160" w:line="278" w:lineRule="auto"/>
            </w:pPr>
          </w:p>
          <w:p w14:paraId="4492A1E2" w14:textId="77777777" w:rsidR="00733791" w:rsidRPr="00733791" w:rsidRDefault="00733791" w:rsidP="00733791">
            <w:pPr>
              <w:spacing w:after="160" w:line="278" w:lineRule="auto"/>
            </w:pPr>
          </w:p>
        </w:tc>
      </w:tr>
    </w:tbl>
    <w:p w14:paraId="2248081A" w14:textId="77777777" w:rsidR="00733791" w:rsidRPr="00733791" w:rsidRDefault="00733791" w:rsidP="00733791"/>
    <w:p w14:paraId="406B9DB2" w14:textId="77777777" w:rsidR="00733791" w:rsidRPr="00733791" w:rsidRDefault="00733791" w:rsidP="00733791">
      <w:pPr>
        <w:rPr>
          <w:b/>
          <w:bCs/>
        </w:rPr>
      </w:pPr>
      <w:r w:rsidRPr="00733791">
        <w:rPr>
          <w:b/>
          <w:bCs/>
        </w:rPr>
        <w:t>Q3 – Name of Landlord’s Legal Representatives</w:t>
      </w:r>
    </w:p>
    <w:tbl>
      <w:tblPr>
        <w:tblStyle w:val="TableGrid"/>
        <w:tblW w:w="0" w:type="auto"/>
        <w:tblLook w:val="04A0" w:firstRow="1" w:lastRow="0" w:firstColumn="1" w:lastColumn="0" w:noHBand="0" w:noVBand="1"/>
      </w:tblPr>
      <w:tblGrid>
        <w:gridCol w:w="9016"/>
      </w:tblGrid>
      <w:tr w:rsidR="00733791" w:rsidRPr="00733791" w14:paraId="7E1DD82F" w14:textId="77777777" w:rsidTr="003B20AC">
        <w:tc>
          <w:tcPr>
            <w:tcW w:w="9016" w:type="dxa"/>
          </w:tcPr>
          <w:p w14:paraId="7B8D7DBE" w14:textId="77777777" w:rsidR="00733791" w:rsidRPr="00733791" w:rsidRDefault="00733791" w:rsidP="00733791">
            <w:pPr>
              <w:spacing w:after="160" w:line="278" w:lineRule="auto"/>
            </w:pPr>
          </w:p>
        </w:tc>
      </w:tr>
    </w:tbl>
    <w:p w14:paraId="59FB6E25" w14:textId="77777777" w:rsidR="00733791" w:rsidRPr="00733791" w:rsidRDefault="00733791" w:rsidP="00733791"/>
    <w:p w14:paraId="1DBD7103" w14:textId="77777777" w:rsidR="00733791" w:rsidRPr="00733791" w:rsidRDefault="00733791" w:rsidP="00733791">
      <w:pPr>
        <w:rPr>
          <w:b/>
          <w:bCs/>
        </w:rPr>
      </w:pPr>
      <w:r w:rsidRPr="00733791">
        <w:rPr>
          <w:b/>
          <w:bCs/>
        </w:rPr>
        <w:t>Q4 – Address &amp; Contact Details of Landlord’s Legal Representatives</w:t>
      </w:r>
    </w:p>
    <w:tbl>
      <w:tblPr>
        <w:tblStyle w:val="TableGrid"/>
        <w:tblW w:w="0" w:type="auto"/>
        <w:tblLook w:val="04A0" w:firstRow="1" w:lastRow="0" w:firstColumn="1" w:lastColumn="0" w:noHBand="0" w:noVBand="1"/>
      </w:tblPr>
      <w:tblGrid>
        <w:gridCol w:w="9016"/>
      </w:tblGrid>
      <w:tr w:rsidR="00733791" w:rsidRPr="00733791" w14:paraId="66D9C57C" w14:textId="77777777" w:rsidTr="003B20AC">
        <w:tc>
          <w:tcPr>
            <w:tcW w:w="9016" w:type="dxa"/>
          </w:tcPr>
          <w:p w14:paraId="07A54554" w14:textId="77777777" w:rsidR="00733791" w:rsidRPr="00733791" w:rsidRDefault="00733791" w:rsidP="00733791">
            <w:pPr>
              <w:spacing w:after="160" w:line="278" w:lineRule="auto"/>
            </w:pPr>
          </w:p>
          <w:p w14:paraId="6A6154B2" w14:textId="77777777" w:rsidR="00733791" w:rsidRPr="00733791" w:rsidRDefault="00733791" w:rsidP="00733791">
            <w:pPr>
              <w:spacing w:after="160" w:line="278" w:lineRule="auto"/>
            </w:pPr>
          </w:p>
          <w:p w14:paraId="32FB1ECF" w14:textId="77777777" w:rsidR="00733791" w:rsidRPr="00733791" w:rsidRDefault="00733791" w:rsidP="00733791">
            <w:pPr>
              <w:spacing w:after="160" w:line="278" w:lineRule="auto"/>
            </w:pPr>
          </w:p>
        </w:tc>
      </w:tr>
    </w:tbl>
    <w:p w14:paraId="4B7A2187" w14:textId="77777777" w:rsidR="00733791" w:rsidRPr="00733791" w:rsidRDefault="00733791" w:rsidP="00733791"/>
    <w:p w14:paraId="27651F12" w14:textId="77777777" w:rsidR="00733791" w:rsidRPr="00733791" w:rsidRDefault="00733791" w:rsidP="00733791">
      <w:pPr>
        <w:rPr>
          <w:b/>
          <w:bCs/>
        </w:rPr>
      </w:pPr>
      <w:r w:rsidRPr="00733791">
        <w:rPr>
          <w:b/>
          <w:bCs/>
        </w:rPr>
        <w:lastRenderedPageBreak/>
        <w:t>Q5 – Contact Telephone Number of Landlord Who Has Raised Proceedings</w:t>
      </w:r>
    </w:p>
    <w:tbl>
      <w:tblPr>
        <w:tblStyle w:val="TableGrid"/>
        <w:tblW w:w="0" w:type="auto"/>
        <w:tblLook w:val="04A0" w:firstRow="1" w:lastRow="0" w:firstColumn="1" w:lastColumn="0" w:noHBand="0" w:noVBand="1"/>
      </w:tblPr>
      <w:tblGrid>
        <w:gridCol w:w="9016"/>
      </w:tblGrid>
      <w:tr w:rsidR="00733791" w:rsidRPr="00733791" w14:paraId="746A3E13" w14:textId="77777777" w:rsidTr="003B20AC">
        <w:tc>
          <w:tcPr>
            <w:tcW w:w="9016" w:type="dxa"/>
          </w:tcPr>
          <w:p w14:paraId="6D65C602" w14:textId="77777777" w:rsidR="00733791" w:rsidRPr="00733791" w:rsidRDefault="00733791" w:rsidP="00733791">
            <w:pPr>
              <w:spacing w:after="160" w:line="278" w:lineRule="auto"/>
            </w:pPr>
          </w:p>
        </w:tc>
      </w:tr>
    </w:tbl>
    <w:p w14:paraId="2ADC48C7" w14:textId="77777777" w:rsidR="00733791" w:rsidRPr="00733791" w:rsidRDefault="00733791" w:rsidP="00733791"/>
    <w:p w14:paraId="5FE0C718" w14:textId="77777777" w:rsidR="00733791" w:rsidRPr="00733791" w:rsidRDefault="00733791" w:rsidP="00733791">
      <w:pPr>
        <w:rPr>
          <w:b/>
          <w:bCs/>
        </w:rPr>
      </w:pPr>
      <w:r w:rsidRPr="00733791">
        <w:rPr>
          <w:b/>
          <w:bCs/>
        </w:rPr>
        <w:t>Q6 – Contact Email Address of Landlord Who Has Raised Proceedings</w:t>
      </w:r>
    </w:p>
    <w:tbl>
      <w:tblPr>
        <w:tblStyle w:val="TableGrid"/>
        <w:tblW w:w="0" w:type="auto"/>
        <w:tblLook w:val="04A0" w:firstRow="1" w:lastRow="0" w:firstColumn="1" w:lastColumn="0" w:noHBand="0" w:noVBand="1"/>
      </w:tblPr>
      <w:tblGrid>
        <w:gridCol w:w="9016"/>
      </w:tblGrid>
      <w:tr w:rsidR="00733791" w:rsidRPr="00733791" w14:paraId="157A3C99" w14:textId="77777777" w:rsidTr="003B20AC">
        <w:tc>
          <w:tcPr>
            <w:tcW w:w="9016" w:type="dxa"/>
          </w:tcPr>
          <w:p w14:paraId="4D42C487" w14:textId="77777777" w:rsidR="00733791" w:rsidRPr="00733791" w:rsidRDefault="00733791" w:rsidP="00733791">
            <w:pPr>
              <w:spacing w:after="160" w:line="278" w:lineRule="auto"/>
            </w:pPr>
          </w:p>
        </w:tc>
      </w:tr>
    </w:tbl>
    <w:p w14:paraId="0D736CFC" w14:textId="77777777" w:rsidR="00733791" w:rsidRPr="00733791" w:rsidRDefault="00733791" w:rsidP="00733791"/>
    <w:p w14:paraId="2028CA41" w14:textId="77777777" w:rsidR="00733791" w:rsidRPr="00733791" w:rsidRDefault="00733791" w:rsidP="00733791">
      <w:pPr>
        <w:rPr>
          <w:b/>
          <w:bCs/>
        </w:rPr>
      </w:pPr>
      <w:r w:rsidRPr="00733791">
        <w:rPr>
          <w:b/>
          <w:bCs/>
        </w:rPr>
        <w:t>Q7 – Landlord Registration Number</w:t>
      </w:r>
    </w:p>
    <w:tbl>
      <w:tblPr>
        <w:tblStyle w:val="TableGrid"/>
        <w:tblW w:w="0" w:type="auto"/>
        <w:tblLook w:val="04A0" w:firstRow="1" w:lastRow="0" w:firstColumn="1" w:lastColumn="0" w:noHBand="0" w:noVBand="1"/>
      </w:tblPr>
      <w:tblGrid>
        <w:gridCol w:w="9016"/>
      </w:tblGrid>
      <w:tr w:rsidR="00733791" w:rsidRPr="00733791" w14:paraId="5AB2C4B0" w14:textId="77777777" w:rsidTr="003B20AC">
        <w:tc>
          <w:tcPr>
            <w:tcW w:w="9016" w:type="dxa"/>
          </w:tcPr>
          <w:p w14:paraId="57E3D6C2" w14:textId="77777777" w:rsidR="00733791" w:rsidRPr="00733791" w:rsidRDefault="00733791" w:rsidP="00733791">
            <w:pPr>
              <w:spacing w:after="160" w:line="278" w:lineRule="auto"/>
            </w:pPr>
          </w:p>
        </w:tc>
      </w:tr>
    </w:tbl>
    <w:p w14:paraId="17308994" w14:textId="77777777" w:rsidR="00733791" w:rsidRPr="00733791" w:rsidRDefault="00733791" w:rsidP="00733791"/>
    <w:p w14:paraId="3C1AACFC" w14:textId="77777777" w:rsidR="00733791" w:rsidRPr="00733791" w:rsidRDefault="00733791" w:rsidP="00733791">
      <w:pPr>
        <w:rPr>
          <w:b/>
          <w:bCs/>
        </w:rPr>
      </w:pPr>
      <w:r w:rsidRPr="00733791">
        <w:rPr>
          <w:b/>
          <w:bCs/>
        </w:rPr>
        <w:t>Q8 – Name(s) of Tenant(s) Against Whom Proceedings Have Been Raised</w:t>
      </w:r>
    </w:p>
    <w:tbl>
      <w:tblPr>
        <w:tblStyle w:val="TableGrid"/>
        <w:tblW w:w="0" w:type="auto"/>
        <w:tblLook w:val="04A0" w:firstRow="1" w:lastRow="0" w:firstColumn="1" w:lastColumn="0" w:noHBand="0" w:noVBand="1"/>
      </w:tblPr>
      <w:tblGrid>
        <w:gridCol w:w="9016"/>
      </w:tblGrid>
      <w:tr w:rsidR="00733791" w:rsidRPr="00733791" w14:paraId="368013B7" w14:textId="77777777" w:rsidTr="003B20AC">
        <w:tc>
          <w:tcPr>
            <w:tcW w:w="9016" w:type="dxa"/>
          </w:tcPr>
          <w:p w14:paraId="666B1E8E" w14:textId="77777777" w:rsidR="00733791" w:rsidRPr="00733791" w:rsidRDefault="00733791" w:rsidP="00733791">
            <w:pPr>
              <w:spacing w:after="160" w:line="278" w:lineRule="auto"/>
            </w:pPr>
          </w:p>
        </w:tc>
      </w:tr>
    </w:tbl>
    <w:p w14:paraId="6A811D0F" w14:textId="77777777" w:rsidR="00733791" w:rsidRPr="00733791" w:rsidRDefault="00733791" w:rsidP="00733791"/>
    <w:p w14:paraId="7644B086" w14:textId="77777777" w:rsidR="00733791" w:rsidRPr="00733791" w:rsidRDefault="00733791" w:rsidP="00733791">
      <w:pPr>
        <w:rPr>
          <w:b/>
          <w:bCs/>
        </w:rPr>
      </w:pPr>
      <w:r w:rsidRPr="00733791">
        <w:rPr>
          <w:b/>
          <w:bCs/>
        </w:rPr>
        <w:t>Q9 – Full Postal Address of Property (Subject of Proceedings)</w:t>
      </w:r>
    </w:p>
    <w:tbl>
      <w:tblPr>
        <w:tblStyle w:val="TableGrid"/>
        <w:tblW w:w="0" w:type="auto"/>
        <w:tblLook w:val="04A0" w:firstRow="1" w:lastRow="0" w:firstColumn="1" w:lastColumn="0" w:noHBand="0" w:noVBand="1"/>
      </w:tblPr>
      <w:tblGrid>
        <w:gridCol w:w="9016"/>
      </w:tblGrid>
      <w:tr w:rsidR="00733791" w:rsidRPr="00733791" w14:paraId="15486B39" w14:textId="77777777" w:rsidTr="003B20AC">
        <w:tc>
          <w:tcPr>
            <w:tcW w:w="9016" w:type="dxa"/>
          </w:tcPr>
          <w:p w14:paraId="4434E9FC" w14:textId="77777777" w:rsidR="00733791" w:rsidRPr="00733791" w:rsidRDefault="00733791" w:rsidP="00733791">
            <w:pPr>
              <w:spacing w:after="160" w:line="278" w:lineRule="auto"/>
            </w:pPr>
          </w:p>
          <w:p w14:paraId="3D013234" w14:textId="77777777" w:rsidR="00733791" w:rsidRPr="00733791" w:rsidRDefault="00733791" w:rsidP="00733791">
            <w:pPr>
              <w:spacing w:after="160" w:line="278" w:lineRule="auto"/>
            </w:pPr>
          </w:p>
          <w:p w14:paraId="71EFBD91" w14:textId="77777777" w:rsidR="00733791" w:rsidRPr="00733791" w:rsidRDefault="00733791" w:rsidP="00733791">
            <w:pPr>
              <w:spacing w:after="160" w:line="278" w:lineRule="auto"/>
            </w:pPr>
          </w:p>
        </w:tc>
      </w:tr>
    </w:tbl>
    <w:p w14:paraId="164633D0" w14:textId="77777777" w:rsidR="00733791" w:rsidRPr="00733791" w:rsidRDefault="00733791" w:rsidP="00733791"/>
    <w:p w14:paraId="1E3E7EB1" w14:textId="77777777" w:rsidR="00733791" w:rsidRPr="00733791" w:rsidRDefault="00733791" w:rsidP="00733791">
      <w:pPr>
        <w:rPr>
          <w:b/>
          <w:bCs/>
        </w:rPr>
      </w:pPr>
      <w:r w:rsidRPr="00733791">
        <w:rPr>
          <w:b/>
          <w:bCs/>
        </w:rPr>
        <w:t>Q10 – Start Date of Tenancy</w:t>
      </w:r>
    </w:p>
    <w:tbl>
      <w:tblPr>
        <w:tblStyle w:val="TableGrid"/>
        <w:tblW w:w="0" w:type="auto"/>
        <w:tblLook w:val="04A0" w:firstRow="1" w:lastRow="0" w:firstColumn="1" w:lastColumn="0" w:noHBand="0" w:noVBand="1"/>
      </w:tblPr>
      <w:tblGrid>
        <w:gridCol w:w="9016"/>
      </w:tblGrid>
      <w:tr w:rsidR="00733791" w:rsidRPr="00733791" w14:paraId="321C22C1" w14:textId="77777777" w:rsidTr="003B20AC">
        <w:tc>
          <w:tcPr>
            <w:tcW w:w="9016" w:type="dxa"/>
          </w:tcPr>
          <w:p w14:paraId="5E8F14C1" w14:textId="77777777" w:rsidR="00733791" w:rsidRPr="00733791" w:rsidRDefault="00733791" w:rsidP="00733791">
            <w:pPr>
              <w:spacing w:after="160" w:line="278" w:lineRule="auto"/>
            </w:pPr>
          </w:p>
        </w:tc>
      </w:tr>
    </w:tbl>
    <w:p w14:paraId="7C6E1C81" w14:textId="77777777" w:rsidR="00733791" w:rsidRPr="00733791" w:rsidRDefault="00733791" w:rsidP="00733791"/>
    <w:p w14:paraId="27486B43" w14:textId="77777777" w:rsidR="00733791" w:rsidRPr="00733791" w:rsidRDefault="00733791" w:rsidP="00733791">
      <w:pPr>
        <w:rPr>
          <w:b/>
          <w:bCs/>
        </w:rPr>
      </w:pPr>
      <w:r w:rsidRPr="00733791">
        <w:rPr>
          <w:b/>
          <w:bCs/>
        </w:rPr>
        <w:t xml:space="preserve">Q11 – Date of Raising of Proceedings for Possession </w:t>
      </w:r>
    </w:p>
    <w:tbl>
      <w:tblPr>
        <w:tblStyle w:val="TableGrid"/>
        <w:tblW w:w="0" w:type="auto"/>
        <w:tblLook w:val="04A0" w:firstRow="1" w:lastRow="0" w:firstColumn="1" w:lastColumn="0" w:noHBand="0" w:noVBand="1"/>
      </w:tblPr>
      <w:tblGrid>
        <w:gridCol w:w="9016"/>
      </w:tblGrid>
      <w:tr w:rsidR="00733791" w:rsidRPr="00733791" w14:paraId="7BB01209" w14:textId="77777777" w:rsidTr="003B20AC">
        <w:tc>
          <w:tcPr>
            <w:tcW w:w="9016" w:type="dxa"/>
          </w:tcPr>
          <w:p w14:paraId="2047C07C" w14:textId="77777777" w:rsidR="00733791" w:rsidRPr="00733791" w:rsidRDefault="00733791" w:rsidP="00733791">
            <w:pPr>
              <w:spacing w:after="160" w:line="278" w:lineRule="auto"/>
            </w:pPr>
          </w:p>
        </w:tc>
      </w:tr>
    </w:tbl>
    <w:p w14:paraId="2CB0DDEE" w14:textId="77777777" w:rsidR="00733791" w:rsidRPr="00733791" w:rsidRDefault="00733791" w:rsidP="00733791"/>
    <w:p w14:paraId="183EB447" w14:textId="77777777" w:rsidR="00733791" w:rsidRPr="00733791" w:rsidRDefault="00733791" w:rsidP="00733791">
      <w:pPr>
        <w:rPr>
          <w:b/>
          <w:bCs/>
        </w:rPr>
      </w:pPr>
      <w:r w:rsidRPr="00733791">
        <w:rPr>
          <w:b/>
          <w:bCs/>
        </w:rPr>
        <w:t>Q12 – Name of Court in Which Proceedings Have Been Raised</w:t>
      </w:r>
    </w:p>
    <w:tbl>
      <w:tblPr>
        <w:tblStyle w:val="TableGrid"/>
        <w:tblW w:w="0" w:type="auto"/>
        <w:tblLook w:val="04A0" w:firstRow="1" w:lastRow="0" w:firstColumn="1" w:lastColumn="0" w:noHBand="0" w:noVBand="1"/>
      </w:tblPr>
      <w:tblGrid>
        <w:gridCol w:w="9016"/>
      </w:tblGrid>
      <w:tr w:rsidR="00733791" w:rsidRPr="00733791" w14:paraId="0A4A6FDA" w14:textId="77777777" w:rsidTr="003B20AC">
        <w:tc>
          <w:tcPr>
            <w:tcW w:w="9016" w:type="dxa"/>
          </w:tcPr>
          <w:p w14:paraId="3896BFD7" w14:textId="77777777" w:rsidR="00733791" w:rsidRPr="00733791" w:rsidRDefault="00733791" w:rsidP="00733791">
            <w:pPr>
              <w:spacing w:after="160" w:line="278" w:lineRule="auto"/>
            </w:pPr>
          </w:p>
        </w:tc>
      </w:tr>
    </w:tbl>
    <w:p w14:paraId="64B1C261" w14:textId="77777777" w:rsidR="00733791" w:rsidRPr="00733791" w:rsidRDefault="00733791" w:rsidP="00733791"/>
    <w:p w14:paraId="49BB575D" w14:textId="77777777" w:rsidR="00733791" w:rsidRDefault="00733791" w:rsidP="00733791">
      <w:pPr>
        <w:rPr>
          <w:b/>
        </w:rPr>
      </w:pPr>
    </w:p>
    <w:p w14:paraId="0AE575D8" w14:textId="77777777" w:rsidR="00733791" w:rsidRDefault="00733791" w:rsidP="00733791">
      <w:pPr>
        <w:rPr>
          <w:b/>
        </w:rPr>
      </w:pPr>
    </w:p>
    <w:p w14:paraId="127AE852" w14:textId="33136A65" w:rsidR="00733791" w:rsidRPr="00733791" w:rsidRDefault="00733791" w:rsidP="00733791">
      <w:pPr>
        <w:rPr>
          <w:b/>
        </w:rPr>
      </w:pPr>
      <w:r w:rsidRPr="00733791">
        <w:rPr>
          <w:b/>
        </w:rPr>
        <w:lastRenderedPageBreak/>
        <w:t>Q13 - The legislation under which proceedings are being notified:</w:t>
      </w:r>
    </w:p>
    <w:p w14:paraId="102F468B" w14:textId="77777777" w:rsidR="00733791" w:rsidRPr="00733791" w:rsidRDefault="00733791" w:rsidP="00733791">
      <w:pPr>
        <w:rPr>
          <w:i/>
        </w:rPr>
      </w:pPr>
      <w:r w:rsidRPr="00733791">
        <w:rPr>
          <w:i/>
        </w:rPr>
        <w:t>(Various statutes require notice to be given to a local authority where a landlord has raised proceedings for possession of a house.  The table below lists some of the legislation under which such proceedings might be raise for possession of a house; please tick in the appropriate box below which describes the proceedings you have raised)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9"/>
        <w:gridCol w:w="7847"/>
      </w:tblGrid>
      <w:tr w:rsidR="00733791" w:rsidRPr="00733791" w14:paraId="14540961" w14:textId="77777777" w:rsidTr="003B20AC">
        <w:tc>
          <w:tcPr>
            <w:tcW w:w="1188" w:type="dxa"/>
            <w:tcBorders>
              <w:top w:val="single" w:sz="4" w:space="0" w:color="auto"/>
              <w:left w:val="single" w:sz="4" w:space="0" w:color="auto"/>
              <w:bottom w:val="single" w:sz="4" w:space="0" w:color="auto"/>
              <w:right w:val="single" w:sz="4" w:space="0" w:color="auto"/>
            </w:tcBorders>
            <w:hideMark/>
          </w:tcPr>
          <w:p w14:paraId="00B1F12E" w14:textId="77777777" w:rsidR="00733791" w:rsidRPr="00733791" w:rsidRDefault="00733791" w:rsidP="00733791">
            <w:r w:rsidRPr="00733791">
              <w:t>(1)</w:t>
            </w:r>
          </w:p>
        </w:tc>
        <w:tc>
          <w:tcPr>
            <w:tcW w:w="8054" w:type="dxa"/>
            <w:tcBorders>
              <w:top w:val="single" w:sz="4" w:space="0" w:color="auto"/>
              <w:left w:val="single" w:sz="4" w:space="0" w:color="auto"/>
              <w:bottom w:val="single" w:sz="4" w:space="0" w:color="auto"/>
              <w:right w:val="single" w:sz="4" w:space="0" w:color="auto"/>
            </w:tcBorders>
            <w:hideMark/>
          </w:tcPr>
          <w:p w14:paraId="457E2B68" w14:textId="77777777" w:rsidR="00733791" w:rsidRPr="00733791" w:rsidRDefault="00733791" w:rsidP="00733791">
            <w:pPr>
              <w:rPr>
                <w:i/>
              </w:rPr>
            </w:pPr>
            <w:r w:rsidRPr="00733791">
              <w:t xml:space="preserve">Section 12A(1) (notice to local authority of proceedings for possession of a dwelling-house let on a protected tenancy or subject to a statutory tenancy) of the Rent (Scotland) Act 1984 (c.58).  </w:t>
            </w:r>
            <w:r w:rsidRPr="00733791">
              <w:rPr>
                <w:i/>
              </w:rPr>
              <w:t>Tick this box if you have raised proceedings to recover possession of a dwellinghouse let on a protected tenancy or subject to a statutory tenancy.</w:t>
            </w:r>
          </w:p>
        </w:tc>
      </w:tr>
      <w:tr w:rsidR="00733791" w:rsidRPr="00733791" w14:paraId="698217C8" w14:textId="77777777" w:rsidTr="003B20AC">
        <w:tc>
          <w:tcPr>
            <w:tcW w:w="1188" w:type="dxa"/>
            <w:tcBorders>
              <w:top w:val="single" w:sz="4" w:space="0" w:color="auto"/>
              <w:left w:val="single" w:sz="4" w:space="0" w:color="auto"/>
              <w:bottom w:val="single" w:sz="4" w:space="0" w:color="auto"/>
              <w:right w:val="single" w:sz="4" w:space="0" w:color="auto"/>
            </w:tcBorders>
            <w:hideMark/>
          </w:tcPr>
          <w:p w14:paraId="76F88FF3" w14:textId="77777777" w:rsidR="00733791" w:rsidRPr="00733791" w:rsidRDefault="00733791" w:rsidP="00733791">
            <w:r w:rsidRPr="00733791">
              <w:t>(2)</w:t>
            </w:r>
          </w:p>
        </w:tc>
        <w:tc>
          <w:tcPr>
            <w:tcW w:w="8054" w:type="dxa"/>
            <w:tcBorders>
              <w:top w:val="single" w:sz="4" w:space="0" w:color="auto"/>
              <w:left w:val="single" w:sz="4" w:space="0" w:color="auto"/>
              <w:bottom w:val="single" w:sz="4" w:space="0" w:color="auto"/>
              <w:right w:val="single" w:sz="4" w:space="0" w:color="auto"/>
            </w:tcBorders>
            <w:hideMark/>
          </w:tcPr>
          <w:p w14:paraId="38B74295" w14:textId="77777777" w:rsidR="00733791" w:rsidRPr="00733791" w:rsidRDefault="00733791" w:rsidP="00733791">
            <w:pPr>
              <w:rPr>
                <w:i/>
              </w:rPr>
            </w:pPr>
            <w:r w:rsidRPr="00733791">
              <w:t xml:space="preserve">Section 19A(1) (notice to local authority of proceedings for possession of a house let on an assured tenancy) of the Housing (Scotland) 1988 (c.43).  </w:t>
            </w:r>
            <w:r w:rsidRPr="00733791">
              <w:rPr>
                <w:i/>
              </w:rPr>
              <w:t>Tick this box if you have raised proceedings to recover possession of a dwellinghouse let on an assured tenancy.</w:t>
            </w:r>
          </w:p>
        </w:tc>
      </w:tr>
      <w:tr w:rsidR="00733791" w:rsidRPr="00733791" w14:paraId="5DF617A5" w14:textId="77777777" w:rsidTr="003B20AC">
        <w:tc>
          <w:tcPr>
            <w:tcW w:w="1188" w:type="dxa"/>
            <w:tcBorders>
              <w:top w:val="single" w:sz="4" w:space="0" w:color="auto"/>
              <w:left w:val="single" w:sz="4" w:space="0" w:color="auto"/>
              <w:bottom w:val="single" w:sz="4" w:space="0" w:color="auto"/>
              <w:right w:val="single" w:sz="4" w:space="0" w:color="auto"/>
            </w:tcBorders>
            <w:hideMark/>
          </w:tcPr>
          <w:p w14:paraId="3ED742B3" w14:textId="77777777" w:rsidR="00733791" w:rsidRPr="00733791" w:rsidRDefault="00733791" w:rsidP="00733791">
            <w:r w:rsidRPr="00733791">
              <w:t>(3)</w:t>
            </w:r>
          </w:p>
        </w:tc>
        <w:tc>
          <w:tcPr>
            <w:tcW w:w="8054" w:type="dxa"/>
            <w:tcBorders>
              <w:top w:val="single" w:sz="4" w:space="0" w:color="auto"/>
              <w:left w:val="single" w:sz="4" w:space="0" w:color="auto"/>
              <w:bottom w:val="single" w:sz="4" w:space="0" w:color="auto"/>
              <w:right w:val="single" w:sz="4" w:space="0" w:color="auto"/>
            </w:tcBorders>
            <w:hideMark/>
          </w:tcPr>
          <w:p w14:paraId="6326AE35" w14:textId="77777777" w:rsidR="00733791" w:rsidRPr="00733791" w:rsidRDefault="00733791" w:rsidP="00733791">
            <w:pPr>
              <w:rPr>
                <w:i/>
              </w:rPr>
            </w:pPr>
            <w:r w:rsidRPr="00733791">
              <w:t xml:space="preserve">Section 14(5A) (notice to local authority of proceedings for possession of a house let on a Scottish secure tenancy) of the Housing (Scotland) Act 2001 (asp 10).  </w:t>
            </w:r>
            <w:r w:rsidRPr="00733791">
              <w:rPr>
                <w:i/>
              </w:rPr>
              <w:t>Tick this box if you have raised proceedings to recover possession of a dwellinghouse let on a Scottish secure tenancy.</w:t>
            </w:r>
          </w:p>
        </w:tc>
      </w:tr>
      <w:tr w:rsidR="00733791" w:rsidRPr="00733791" w14:paraId="44584E1A" w14:textId="77777777" w:rsidTr="003B20AC">
        <w:tc>
          <w:tcPr>
            <w:tcW w:w="1188" w:type="dxa"/>
            <w:tcBorders>
              <w:top w:val="single" w:sz="4" w:space="0" w:color="auto"/>
              <w:left w:val="single" w:sz="4" w:space="0" w:color="auto"/>
              <w:bottom w:val="single" w:sz="4" w:space="0" w:color="auto"/>
              <w:right w:val="single" w:sz="4" w:space="0" w:color="auto"/>
            </w:tcBorders>
            <w:hideMark/>
          </w:tcPr>
          <w:p w14:paraId="44F60077" w14:textId="77777777" w:rsidR="00733791" w:rsidRPr="00733791" w:rsidRDefault="00733791" w:rsidP="00733791">
            <w:r w:rsidRPr="00733791">
              <w:t>(4)</w:t>
            </w:r>
          </w:p>
        </w:tc>
        <w:tc>
          <w:tcPr>
            <w:tcW w:w="8054" w:type="dxa"/>
            <w:tcBorders>
              <w:top w:val="single" w:sz="4" w:space="0" w:color="auto"/>
              <w:left w:val="single" w:sz="4" w:space="0" w:color="auto"/>
              <w:bottom w:val="single" w:sz="4" w:space="0" w:color="auto"/>
              <w:right w:val="single" w:sz="4" w:space="0" w:color="auto"/>
            </w:tcBorders>
            <w:hideMark/>
          </w:tcPr>
          <w:p w14:paraId="2C7CA1CF" w14:textId="77777777" w:rsidR="00733791" w:rsidRPr="00733791" w:rsidRDefault="00733791" w:rsidP="00733791">
            <w:pPr>
              <w:rPr>
                <w:i/>
              </w:rPr>
            </w:pPr>
            <w:r w:rsidRPr="00733791">
              <w:t xml:space="preserve">Section 36(6A) (notice to local authority of proceedings for possession of a house let on short Scottish secure tenancy) of the Housing (Scotland) Act 2001 (asp 10).  </w:t>
            </w:r>
            <w:r w:rsidRPr="00733791">
              <w:rPr>
                <w:i/>
              </w:rPr>
              <w:t>Tick this box if you have raised proceedings to recover possession of a dwellinghouse let on a short Scottish secure tenancy).</w:t>
            </w:r>
          </w:p>
        </w:tc>
      </w:tr>
      <w:tr w:rsidR="00733791" w:rsidRPr="00733791" w14:paraId="229A9215" w14:textId="77777777" w:rsidTr="003B20AC">
        <w:tc>
          <w:tcPr>
            <w:tcW w:w="1188" w:type="dxa"/>
            <w:tcBorders>
              <w:top w:val="single" w:sz="4" w:space="0" w:color="auto"/>
              <w:left w:val="single" w:sz="4" w:space="0" w:color="auto"/>
              <w:bottom w:val="single" w:sz="4" w:space="0" w:color="auto"/>
              <w:right w:val="single" w:sz="4" w:space="0" w:color="auto"/>
            </w:tcBorders>
            <w:hideMark/>
          </w:tcPr>
          <w:p w14:paraId="0AB9155D" w14:textId="77777777" w:rsidR="00733791" w:rsidRPr="00733791" w:rsidRDefault="00733791" w:rsidP="00733791">
            <w:r w:rsidRPr="00733791">
              <w:t>(4A)</w:t>
            </w:r>
          </w:p>
        </w:tc>
        <w:tc>
          <w:tcPr>
            <w:tcW w:w="8054" w:type="dxa"/>
            <w:tcBorders>
              <w:top w:val="single" w:sz="4" w:space="0" w:color="auto"/>
              <w:left w:val="single" w:sz="4" w:space="0" w:color="auto"/>
              <w:bottom w:val="single" w:sz="4" w:space="0" w:color="auto"/>
              <w:right w:val="single" w:sz="4" w:space="0" w:color="auto"/>
            </w:tcBorders>
            <w:hideMark/>
          </w:tcPr>
          <w:p w14:paraId="7975430F" w14:textId="77777777" w:rsidR="00733791" w:rsidRPr="00733791" w:rsidRDefault="00733791" w:rsidP="00733791">
            <w:r w:rsidRPr="00733791">
              <w:t xml:space="preserve">Section 56(1) (restriction on applying without notifying local authority) of the Private Housing (Tenancies) (Scotland) Act 2016 (asp 19) </w:t>
            </w:r>
            <w:r w:rsidRPr="00733791">
              <w:rPr>
                <w:i/>
                <w:iCs/>
              </w:rPr>
              <w:t>(tick this box if you have applied to the First-tier Tribunal for Scotland for an eviction order in relation to a property let on a private residential tenancy).</w:t>
            </w:r>
          </w:p>
        </w:tc>
      </w:tr>
      <w:tr w:rsidR="00733791" w:rsidRPr="00733791" w14:paraId="5BE75C46" w14:textId="77777777" w:rsidTr="003B20AC">
        <w:tc>
          <w:tcPr>
            <w:tcW w:w="1188" w:type="dxa"/>
            <w:tcBorders>
              <w:top w:val="single" w:sz="4" w:space="0" w:color="auto"/>
              <w:left w:val="single" w:sz="4" w:space="0" w:color="auto"/>
              <w:bottom w:val="single" w:sz="4" w:space="0" w:color="auto"/>
              <w:right w:val="single" w:sz="4" w:space="0" w:color="auto"/>
            </w:tcBorders>
            <w:hideMark/>
          </w:tcPr>
          <w:p w14:paraId="1EE2FE62" w14:textId="77777777" w:rsidR="00733791" w:rsidRPr="00733791" w:rsidRDefault="00733791" w:rsidP="00733791">
            <w:r w:rsidRPr="00733791">
              <w:t>(5)</w:t>
            </w:r>
          </w:p>
        </w:tc>
        <w:tc>
          <w:tcPr>
            <w:tcW w:w="8054" w:type="dxa"/>
            <w:tcBorders>
              <w:top w:val="single" w:sz="4" w:space="0" w:color="auto"/>
              <w:left w:val="single" w:sz="4" w:space="0" w:color="auto"/>
              <w:bottom w:val="single" w:sz="4" w:space="0" w:color="auto"/>
              <w:right w:val="single" w:sz="4" w:space="0" w:color="auto"/>
            </w:tcBorders>
            <w:hideMark/>
          </w:tcPr>
          <w:p w14:paraId="0545A569" w14:textId="77777777" w:rsidR="00733791" w:rsidRPr="00733791" w:rsidRDefault="00733791" w:rsidP="00733791">
            <w:pPr>
              <w:rPr>
                <w:i/>
              </w:rPr>
            </w:pPr>
            <w:r w:rsidRPr="00733791">
              <w:t xml:space="preserve">Other proceedings for possession of a dwellinghouse.  </w:t>
            </w:r>
            <w:r w:rsidRPr="00733791">
              <w:rPr>
                <w:i/>
              </w:rPr>
              <w:t xml:space="preserve">Tick this box if you have raised proceedings to recover possession of a dwellinghouse and none of the above boxes are appropriate.  For these purposes a dwellinghouse is any building or part of a building, which is occupied or intended to be occupied as a separate dwelling, and in particular includes a flat.  </w:t>
            </w:r>
          </w:p>
        </w:tc>
      </w:tr>
    </w:tbl>
    <w:p w14:paraId="55CBCCEF" w14:textId="77777777" w:rsidR="00733791" w:rsidRPr="00733791" w:rsidRDefault="00733791" w:rsidP="00733791"/>
    <w:p w14:paraId="7BCA0654" w14:textId="60AB243B" w:rsidR="00733791" w:rsidRDefault="00733791"/>
    <w:sectPr w:rsidR="00733791">
      <w:headerReference w:type="even" r:id="rId10"/>
      <w:head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18483" w14:textId="77777777" w:rsidR="006571BA" w:rsidRDefault="006571BA" w:rsidP="00733791">
      <w:pPr>
        <w:spacing w:after="0" w:line="240" w:lineRule="auto"/>
      </w:pPr>
      <w:r>
        <w:separator/>
      </w:r>
    </w:p>
  </w:endnote>
  <w:endnote w:type="continuationSeparator" w:id="0">
    <w:p w14:paraId="402013B3" w14:textId="77777777" w:rsidR="006571BA" w:rsidRDefault="006571BA" w:rsidP="00733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FD2F6" w14:textId="77777777" w:rsidR="006571BA" w:rsidRDefault="006571BA" w:rsidP="00733791">
      <w:pPr>
        <w:spacing w:after="0" w:line="240" w:lineRule="auto"/>
      </w:pPr>
      <w:r>
        <w:separator/>
      </w:r>
    </w:p>
  </w:footnote>
  <w:footnote w:type="continuationSeparator" w:id="0">
    <w:p w14:paraId="72E5BA6B" w14:textId="77777777" w:rsidR="006571BA" w:rsidRDefault="006571BA" w:rsidP="00733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EA9EC" w14:textId="033E09C3" w:rsidR="00733791" w:rsidRDefault="00733791">
    <w:pPr>
      <w:pStyle w:val="Header"/>
    </w:pPr>
    <w:r>
      <w:rPr>
        <w:noProof/>
      </w:rPr>
      <mc:AlternateContent>
        <mc:Choice Requires="wps">
          <w:drawing>
            <wp:anchor distT="0" distB="0" distL="0" distR="0" simplePos="0" relativeHeight="251659264" behindDoc="0" locked="0" layoutInCell="1" allowOverlap="1" wp14:anchorId="7E09264C" wp14:editId="2C3BE017">
              <wp:simplePos x="635" y="635"/>
              <wp:positionH relativeFrom="page">
                <wp:align>left</wp:align>
              </wp:positionH>
              <wp:positionV relativeFrom="page">
                <wp:align>top</wp:align>
              </wp:positionV>
              <wp:extent cx="1721485" cy="387985"/>
              <wp:effectExtent l="0" t="0" r="12065" b="12065"/>
              <wp:wrapNone/>
              <wp:docPr id="1428789928" name="Text Box 2"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1485" cy="387985"/>
                      </a:xfrm>
                      <a:prstGeom prst="rect">
                        <a:avLst/>
                      </a:prstGeom>
                      <a:noFill/>
                      <a:ln>
                        <a:noFill/>
                      </a:ln>
                    </wps:spPr>
                    <wps:txbx>
                      <w:txbxContent>
                        <w:p w14:paraId="0B45E4AD" w14:textId="13627A05" w:rsidR="00733791" w:rsidRPr="00733791" w:rsidRDefault="00733791" w:rsidP="00733791">
                          <w:pPr>
                            <w:spacing w:after="0"/>
                            <w:rPr>
                              <w:rFonts w:ascii="Aptos" w:eastAsia="Aptos" w:hAnsi="Aptos" w:cs="Aptos"/>
                              <w:noProof/>
                              <w:color w:val="0000FF"/>
                              <w:sz w:val="22"/>
                              <w:szCs w:val="22"/>
                            </w:rPr>
                          </w:pPr>
                          <w:r w:rsidRPr="00733791">
                            <w:rPr>
                              <w:rFonts w:ascii="Aptos" w:eastAsia="Aptos" w:hAnsi="Aptos" w:cs="Aptos"/>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E09264C" id="_x0000_t202" coordsize="21600,21600" o:spt="202" path="m,l,21600r21600,l21600,xe">
              <v:stroke joinstyle="miter"/>
              <v:path gradientshapeok="t" o:connecttype="rect"/>
            </v:shapetype>
            <v:shape id="Text Box 2" o:spid="_x0000_s1026" type="#_x0000_t202" alt="Classification: OFFICIAL" style="position:absolute;margin-left:0;margin-top:0;width:135.55pt;height:30.5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" filled="f" stroked="f">
              <v:fill o:detectmouseclick="t"/>
              <v:textbox style="mso-fit-shape-to-text:t" inset="20pt,15pt,0,0">
                <w:txbxContent>
                  <w:p w14:paraId="0B45E4AD" w14:textId="13627A05" w:rsidR="00733791" w:rsidRPr="00733791" w:rsidRDefault="00733791" w:rsidP="00733791">
                    <w:pPr>
                      <w:spacing w:after="0"/>
                      <w:rPr>
                        <w:rFonts w:ascii="Aptos" w:eastAsia="Aptos" w:hAnsi="Aptos" w:cs="Aptos"/>
                        <w:noProof/>
                        <w:color w:val="0000FF"/>
                        <w:sz w:val="22"/>
                        <w:szCs w:val="22"/>
                      </w:rPr>
                    </w:pPr>
                    <w:r w:rsidRPr="00733791">
                      <w:rPr>
                        <w:rFonts w:ascii="Aptos" w:eastAsia="Aptos" w:hAnsi="Aptos" w:cs="Aptos"/>
                        <w:noProof/>
                        <w:color w:val="0000FF"/>
                        <w:sz w:val="22"/>
                        <w:szCs w:val="22"/>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68F4F" w14:textId="6A8B2D42" w:rsidR="00733791" w:rsidRDefault="00733791">
    <w:pPr>
      <w:pStyle w:val="Header"/>
    </w:pPr>
    <w:r>
      <w:rPr>
        <w:noProof/>
      </w:rPr>
      <mc:AlternateContent>
        <mc:Choice Requires="wps">
          <w:drawing>
            <wp:anchor distT="0" distB="0" distL="0" distR="0" simplePos="0" relativeHeight="251660288" behindDoc="0" locked="0" layoutInCell="1" allowOverlap="1" wp14:anchorId="78541D55" wp14:editId="66B12EE4">
              <wp:simplePos x="914400" y="450850"/>
              <wp:positionH relativeFrom="page">
                <wp:align>left</wp:align>
              </wp:positionH>
              <wp:positionV relativeFrom="page">
                <wp:align>top</wp:align>
              </wp:positionV>
              <wp:extent cx="1721485" cy="387985"/>
              <wp:effectExtent l="0" t="0" r="12065" b="12065"/>
              <wp:wrapNone/>
              <wp:docPr id="1155132746" name="Text Box 3"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1485" cy="387985"/>
                      </a:xfrm>
                      <a:prstGeom prst="rect">
                        <a:avLst/>
                      </a:prstGeom>
                      <a:noFill/>
                      <a:ln>
                        <a:noFill/>
                      </a:ln>
                    </wps:spPr>
                    <wps:txbx>
                      <w:txbxContent>
                        <w:p w14:paraId="1ADA1732" w14:textId="3BB8A152" w:rsidR="00733791" w:rsidRPr="00733791" w:rsidRDefault="00733791" w:rsidP="00733791">
                          <w:pPr>
                            <w:spacing w:after="0"/>
                            <w:rPr>
                              <w:rFonts w:ascii="Aptos" w:eastAsia="Aptos" w:hAnsi="Aptos" w:cs="Aptos"/>
                              <w:noProof/>
                              <w:color w:val="0000FF"/>
                              <w:sz w:val="22"/>
                              <w:szCs w:val="22"/>
                            </w:rPr>
                          </w:pPr>
                          <w:r w:rsidRPr="00733791">
                            <w:rPr>
                              <w:rFonts w:ascii="Aptos" w:eastAsia="Aptos" w:hAnsi="Aptos" w:cs="Aptos"/>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8541D55" id="_x0000_t202" coordsize="21600,21600" o:spt="202" path="m,l,21600r21600,l21600,xe">
              <v:stroke joinstyle="miter"/>
              <v:path gradientshapeok="t" o:connecttype="rect"/>
            </v:shapetype>
            <v:shape id="Text Box 3" o:spid="_x0000_s1027" type="#_x0000_t202" alt="Classification: OFFICIAL" style="position:absolute;margin-left:0;margin-top:0;width:135.55pt;height:30.5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" filled="f" stroked="f">
              <v:fill o:detectmouseclick="t"/>
              <v:textbox style="mso-fit-shape-to-text:t" inset="20pt,15pt,0,0">
                <w:txbxContent>
                  <w:p w14:paraId="1ADA1732" w14:textId="3BB8A152" w:rsidR="00733791" w:rsidRPr="00733791" w:rsidRDefault="00733791" w:rsidP="00733791">
                    <w:pPr>
                      <w:spacing w:after="0"/>
                      <w:rPr>
                        <w:rFonts w:ascii="Aptos" w:eastAsia="Aptos" w:hAnsi="Aptos" w:cs="Aptos"/>
                        <w:noProof/>
                        <w:color w:val="0000FF"/>
                        <w:sz w:val="22"/>
                        <w:szCs w:val="22"/>
                      </w:rPr>
                    </w:pPr>
                    <w:r w:rsidRPr="00733791">
                      <w:rPr>
                        <w:rFonts w:ascii="Aptos" w:eastAsia="Aptos" w:hAnsi="Aptos" w:cs="Aptos"/>
                        <w:noProof/>
                        <w:color w:val="0000FF"/>
                        <w:sz w:val="22"/>
                        <w:szCs w:val="22"/>
                      </w:rPr>
                      <w:t>Classification: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64227" w14:textId="08C9620F" w:rsidR="00733791" w:rsidRDefault="00733791">
    <w:pPr>
      <w:pStyle w:val="Header"/>
    </w:pPr>
    <w:r>
      <w:rPr>
        <w:noProof/>
      </w:rPr>
      <mc:AlternateContent>
        <mc:Choice Requires="wps">
          <w:drawing>
            <wp:anchor distT="0" distB="0" distL="0" distR="0" simplePos="0" relativeHeight="251658240" behindDoc="0" locked="0" layoutInCell="1" allowOverlap="1" wp14:anchorId="30C3988A" wp14:editId="560CCA83">
              <wp:simplePos x="635" y="635"/>
              <wp:positionH relativeFrom="page">
                <wp:align>left</wp:align>
              </wp:positionH>
              <wp:positionV relativeFrom="page">
                <wp:align>top</wp:align>
              </wp:positionV>
              <wp:extent cx="1721485" cy="387985"/>
              <wp:effectExtent l="0" t="0" r="12065" b="12065"/>
              <wp:wrapNone/>
              <wp:docPr id="2098174719" name="Text Box 1"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1485" cy="387985"/>
                      </a:xfrm>
                      <a:prstGeom prst="rect">
                        <a:avLst/>
                      </a:prstGeom>
                      <a:noFill/>
                      <a:ln>
                        <a:noFill/>
                      </a:ln>
                    </wps:spPr>
                    <wps:txbx>
                      <w:txbxContent>
                        <w:p w14:paraId="52A3B3A8" w14:textId="6D301D61" w:rsidR="00733791" w:rsidRPr="00733791" w:rsidRDefault="00733791" w:rsidP="00733791">
                          <w:pPr>
                            <w:spacing w:after="0"/>
                            <w:rPr>
                              <w:rFonts w:ascii="Aptos" w:eastAsia="Aptos" w:hAnsi="Aptos" w:cs="Aptos"/>
                              <w:noProof/>
                              <w:color w:val="0000FF"/>
                              <w:sz w:val="22"/>
                              <w:szCs w:val="22"/>
                            </w:rPr>
                          </w:pPr>
                          <w:r w:rsidRPr="00733791">
                            <w:rPr>
                              <w:rFonts w:ascii="Aptos" w:eastAsia="Aptos" w:hAnsi="Aptos" w:cs="Aptos"/>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0C3988A" id="_x0000_t202" coordsize="21600,21600" o:spt="202" path="m,l,21600r21600,l21600,xe">
              <v:stroke joinstyle="miter"/>
              <v:path gradientshapeok="t" o:connecttype="rect"/>
            </v:shapetype>
            <v:shape id="Text Box 1" o:spid="_x0000_s1028" type="#_x0000_t202" alt="Classification: OFFICIAL" style="position:absolute;margin-left:0;margin-top:0;width:135.55pt;height:30.5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" filled="f" stroked="f">
              <v:fill o:detectmouseclick="t"/>
              <v:textbox style="mso-fit-shape-to-text:t" inset="20pt,15pt,0,0">
                <w:txbxContent>
                  <w:p w14:paraId="52A3B3A8" w14:textId="6D301D61" w:rsidR="00733791" w:rsidRPr="00733791" w:rsidRDefault="00733791" w:rsidP="00733791">
                    <w:pPr>
                      <w:spacing w:after="0"/>
                      <w:rPr>
                        <w:rFonts w:ascii="Aptos" w:eastAsia="Aptos" w:hAnsi="Aptos" w:cs="Aptos"/>
                        <w:noProof/>
                        <w:color w:val="0000FF"/>
                        <w:sz w:val="22"/>
                        <w:szCs w:val="22"/>
                      </w:rPr>
                    </w:pPr>
                    <w:r w:rsidRPr="00733791">
                      <w:rPr>
                        <w:rFonts w:ascii="Aptos" w:eastAsia="Aptos" w:hAnsi="Aptos" w:cs="Aptos"/>
                        <w:noProof/>
                        <w:color w:val="0000FF"/>
                        <w:sz w:val="22"/>
                        <w:szCs w:val="22"/>
                      </w:rPr>
                      <w:t>Classification: 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791"/>
    <w:rsid w:val="002C0221"/>
    <w:rsid w:val="006571BA"/>
    <w:rsid w:val="00733791"/>
    <w:rsid w:val="007C7392"/>
    <w:rsid w:val="00803E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38151"/>
  <w15:chartTrackingRefBased/>
  <w15:docId w15:val="{7377AA05-33B9-4C2E-B83D-CBC2BF714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791"/>
  </w:style>
  <w:style w:type="paragraph" w:styleId="Heading1">
    <w:name w:val="heading 1"/>
    <w:basedOn w:val="Normal"/>
    <w:next w:val="Normal"/>
    <w:link w:val="Heading1Char"/>
    <w:uiPriority w:val="9"/>
    <w:qFormat/>
    <w:rsid w:val="007337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37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37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37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37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37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37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37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37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37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37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37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37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37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37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37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37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3791"/>
    <w:rPr>
      <w:rFonts w:eastAsiaTheme="majorEastAsia" w:cstheme="majorBidi"/>
      <w:color w:val="272727" w:themeColor="text1" w:themeTint="D8"/>
    </w:rPr>
  </w:style>
  <w:style w:type="paragraph" w:styleId="Title">
    <w:name w:val="Title"/>
    <w:basedOn w:val="Normal"/>
    <w:next w:val="Normal"/>
    <w:link w:val="TitleChar"/>
    <w:uiPriority w:val="10"/>
    <w:qFormat/>
    <w:rsid w:val="007337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37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37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37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3791"/>
    <w:pPr>
      <w:spacing w:before="160"/>
      <w:jc w:val="center"/>
    </w:pPr>
    <w:rPr>
      <w:i/>
      <w:iCs/>
      <w:color w:val="404040" w:themeColor="text1" w:themeTint="BF"/>
    </w:rPr>
  </w:style>
  <w:style w:type="character" w:customStyle="1" w:styleId="QuoteChar">
    <w:name w:val="Quote Char"/>
    <w:basedOn w:val="DefaultParagraphFont"/>
    <w:link w:val="Quote"/>
    <w:uiPriority w:val="29"/>
    <w:rsid w:val="00733791"/>
    <w:rPr>
      <w:i/>
      <w:iCs/>
      <w:color w:val="404040" w:themeColor="text1" w:themeTint="BF"/>
    </w:rPr>
  </w:style>
  <w:style w:type="paragraph" w:styleId="ListParagraph">
    <w:name w:val="List Paragraph"/>
    <w:basedOn w:val="Normal"/>
    <w:uiPriority w:val="34"/>
    <w:qFormat/>
    <w:rsid w:val="00733791"/>
    <w:pPr>
      <w:ind w:left="720"/>
      <w:contextualSpacing/>
    </w:pPr>
  </w:style>
  <w:style w:type="character" w:styleId="IntenseEmphasis">
    <w:name w:val="Intense Emphasis"/>
    <w:basedOn w:val="DefaultParagraphFont"/>
    <w:uiPriority w:val="21"/>
    <w:qFormat/>
    <w:rsid w:val="00733791"/>
    <w:rPr>
      <w:i/>
      <w:iCs/>
      <w:color w:val="0F4761" w:themeColor="accent1" w:themeShade="BF"/>
    </w:rPr>
  </w:style>
  <w:style w:type="paragraph" w:styleId="IntenseQuote">
    <w:name w:val="Intense Quote"/>
    <w:basedOn w:val="Normal"/>
    <w:next w:val="Normal"/>
    <w:link w:val="IntenseQuoteChar"/>
    <w:uiPriority w:val="30"/>
    <w:qFormat/>
    <w:rsid w:val="007337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3791"/>
    <w:rPr>
      <w:i/>
      <w:iCs/>
      <w:color w:val="0F4761" w:themeColor="accent1" w:themeShade="BF"/>
    </w:rPr>
  </w:style>
  <w:style w:type="character" w:styleId="IntenseReference">
    <w:name w:val="Intense Reference"/>
    <w:basedOn w:val="DefaultParagraphFont"/>
    <w:uiPriority w:val="32"/>
    <w:qFormat/>
    <w:rsid w:val="00733791"/>
    <w:rPr>
      <w:b/>
      <w:bCs/>
      <w:smallCaps/>
      <w:color w:val="0F4761" w:themeColor="accent1" w:themeShade="BF"/>
      <w:spacing w:val="5"/>
    </w:rPr>
  </w:style>
  <w:style w:type="table" w:styleId="TableGrid">
    <w:name w:val="Table Grid"/>
    <w:basedOn w:val="TableNormal"/>
    <w:uiPriority w:val="39"/>
    <w:rsid w:val="00733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3791"/>
    <w:rPr>
      <w:color w:val="467886" w:themeColor="hyperlink"/>
      <w:u w:val="single"/>
    </w:rPr>
  </w:style>
  <w:style w:type="character" w:styleId="UnresolvedMention">
    <w:name w:val="Unresolved Mention"/>
    <w:basedOn w:val="DefaultParagraphFont"/>
    <w:uiPriority w:val="99"/>
    <w:semiHidden/>
    <w:unhideWhenUsed/>
    <w:rsid w:val="00733791"/>
    <w:rPr>
      <w:color w:val="605E5C"/>
      <w:shd w:val="clear" w:color="auto" w:fill="E1DFDD"/>
    </w:rPr>
  </w:style>
  <w:style w:type="paragraph" w:styleId="Header">
    <w:name w:val="header"/>
    <w:basedOn w:val="Normal"/>
    <w:link w:val="HeaderChar"/>
    <w:uiPriority w:val="99"/>
    <w:unhideWhenUsed/>
    <w:rsid w:val="007337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37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gyll-bute.gov.uk/housing/housing-advice/housing-service-provision-housing-advice-privacy-statemen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section11enquiries@argyll-bute.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615</Words>
  <Characters>3509</Characters>
  <Application>Microsoft Office Word</Application>
  <DocSecurity>0</DocSecurity>
  <Lines>29</Lines>
  <Paragraphs>8</Paragraphs>
  <ScaleCrop>false</ScaleCrop>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McMillan, Iona</dc:creator>
  <cp:keywords/>
  <dc:description/>
  <cp:lastModifiedBy>McMillan, Iona</cp:lastModifiedBy>
  <cp:revision>1</cp:revision>
  <dcterms:created xsi:type="dcterms:W3CDTF">2026-04-22T14:13:00Z</dcterms:created>
  <dcterms:modified xsi:type="dcterms:W3CDTF">2026-04-22T14:15:00Z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7d0f9aff,55299aa8,44d9ed4a</vt:lpwstr>
  </property>
  <property fmtid="{D5CDD505-2E9C-101B-9397-08002B2CF9AE}" pid="3" name="ClassificationContentMarkingHeaderFontProps">
    <vt:lpwstr>#0000ff,11,Aptos</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2026-04-22T14:15:29Z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1e6c11ce-ff1a-43bb-8f12-4cf3abc06955</vt:lpwstr>
  </property>
  <property fmtid="{D5CDD505-2E9C-101B-9397-08002B2CF9AE}" pid="11" name="MSIP_Label_173be490-3b68-4c2d-a5fc-d62b22a31ada_ContentBits">
    <vt:lpwstr>1</vt:lpwstr>
  </property>
  <property fmtid="{D5CDD505-2E9C-101B-9397-08002B2CF9AE}" pid="12" name="MSIP_Label_173be490-3b68-4c2d-a5fc-d62b22a31ada_Tag">
    <vt:lpwstr>10, 3, 0, 1</vt:lpwstr>
  </property>
</Properties>
</file>