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5" w:type="dxa"/>
        <w:tblInd w:w="-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7D0EBC" w:rsidRPr="000C1C67" w14:paraId="293A6DCC" w14:textId="77777777" w:rsidTr="003B20AC">
        <w:trPr>
          <w:trHeight w:val="991"/>
        </w:trPr>
        <w:tc>
          <w:tcPr>
            <w:tcW w:w="10915" w:type="dxa"/>
            <w:tcBorders>
              <w:top w:val="single" w:sz="12" w:space="0" w:color="auto"/>
              <w:left w:val="nil"/>
              <w:bottom w:val="single" w:sz="12" w:space="0" w:color="auto"/>
              <w:right w:val="nil"/>
            </w:tcBorders>
          </w:tcPr>
          <w:p w14:paraId="225A12B6" w14:textId="77777777" w:rsidR="007D0EBC" w:rsidRDefault="007D0EBC" w:rsidP="003B20AC">
            <w:pPr>
              <w:spacing w:after="0"/>
              <w:ind w:right="-1038"/>
              <w:jc w:val="center"/>
              <w:rPr>
                <w:rFonts w:ascii="Tahoma" w:hAnsi="Tahoma" w:cs="Tahoma"/>
                <w:b/>
              </w:rPr>
            </w:pPr>
            <w:r>
              <w:rPr>
                <w:rFonts w:ascii="Tahoma" w:hAnsi="Tahoma" w:cs="Tahoma"/>
                <w:b/>
                <w:noProof/>
                <w:lang w:eastAsia="en-GB"/>
              </w:rPr>
              <w:drawing>
                <wp:anchor distT="0" distB="0" distL="114300" distR="114300" simplePos="0" relativeHeight="251660288" behindDoc="0" locked="0" layoutInCell="1" allowOverlap="1" wp14:anchorId="4192F1D8" wp14:editId="3D54B0EE">
                  <wp:simplePos x="0" y="0"/>
                  <wp:positionH relativeFrom="column">
                    <wp:posOffset>6013450</wp:posOffset>
                  </wp:positionH>
                  <wp:positionV relativeFrom="paragraph">
                    <wp:posOffset>51435</wp:posOffset>
                  </wp:positionV>
                  <wp:extent cx="796290" cy="686435"/>
                  <wp:effectExtent l="0" t="0" r="3810" b="0"/>
                  <wp:wrapNone/>
                  <wp:docPr id="1382673334" name="Picture 2" descr="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u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6290" cy="6864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noProof/>
                <w:lang w:eastAsia="en-GB"/>
              </w:rPr>
              <w:drawing>
                <wp:anchor distT="0" distB="0" distL="114300" distR="114300" simplePos="0" relativeHeight="251659264" behindDoc="0" locked="0" layoutInCell="1" allowOverlap="1" wp14:anchorId="75145C8B" wp14:editId="292F48A4">
                  <wp:simplePos x="0" y="0"/>
                  <wp:positionH relativeFrom="column">
                    <wp:posOffset>26670</wp:posOffset>
                  </wp:positionH>
                  <wp:positionV relativeFrom="paragraph">
                    <wp:posOffset>99695</wp:posOffset>
                  </wp:positionV>
                  <wp:extent cx="1005205" cy="638175"/>
                  <wp:effectExtent l="0" t="0" r="4445" b="9525"/>
                  <wp:wrapNone/>
                  <wp:docPr id="1075931995" name="Picture 1" descr="Z:\3. Local Housing Strategy\3.8 Local Housing Strategy\LHS Pictures\HS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3. Local Housing Strategy\3.8 Local Housing Strategy\LHS Pictures\HS new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20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8C9AD1" w14:textId="77777777" w:rsidR="007D0EBC" w:rsidRDefault="007D0EBC" w:rsidP="003B20AC">
            <w:pPr>
              <w:spacing w:after="0"/>
              <w:jc w:val="center"/>
              <w:rPr>
                <w:rFonts w:ascii="Tahoma" w:hAnsi="Tahoma" w:cs="Tahoma"/>
                <w:b/>
                <w:bCs/>
                <w:lang w:val="en-US"/>
              </w:rPr>
            </w:pPr>
            <w:r w:rsidRPr="00092788">
              <w:rPr>
                <w:rFonts w:ascii="Tahoma" w:hAnsi="Tahoma" w:cs="Tahoma"/>
                <w:b/>
                <w:bCs/>
                <w:lang w:val="en-US"/>
              </w:rPr>
              <w:t xml:space="preserve">HOMELESSNESS ETC (SCOTLAND) ACT 2003 </w:t>
            </w:r>
          </w:p>
          <w:p w14:paraId="511C47CD" w14:textId="77777777" w:rsidR="007D0EBC" w:rsidRDefault="007D0EBC" w:rsidP="003B20AC">
            <w:pPr>
              <w:spacing w:after="0"/>
              <w:jc w:val="center"/>
              <w:rPr>
                <w:rFonts w:ascii="Tahoma" w:hAnsi="Tahoma" w:cs="Tahoma"/>
                <w:b/>
                <w:bCs/>
                <w:lang w:val="en-US"/>
              </w:rPr>
            </w:pPr>
            <w:r w:rsidRPr="00092788">
              <w:rPr>
                <w:rFonts w:ascii="Tahoma" w:hAnsi="Tahoma" w:cs="Tahoma"/>
                <w:b/>
                <w:bCs/>
                <w:lang w:val="en-US"/>
              </w:rPr>
              <w:t>- SECTION 11</w:t>
            </w:r>
            <w:r>
              <w:rPr>
                <w:rFonts w:ascii="Tahoma" w:hAnsi="Tahoma" w:cs="Tahoma"/>
                <w:b/>
                <w:bCs/>
                <w:lang w:val="en-US"/>
              </w:rPr>
              <w:t xml:space="preserve"> </w:t>
            </w:r>
            <w:r w:rsidRPr="00092788">
              <w:rPr>
                <w:rFonts w:ascii="Tahoma" w:hAnsi="Tahoma" w:cs="Tahoma"/>
                <w:b/>
                <w:bCs/>
                <w:lang w:val="en-US"/>
              </w:rPr>
              <w:t xml:space="preserve">NOTICE BY </w:t>
            </w:r>
            <w:r>
              <w:rPr>
                <w:rFonts w:ascii="Tahoma" w:hAnsi="Tahoma" w:cs="Tahoma"/>
                <w:b/>
                <w:bCs/>
                <w:lang w:val="en-US"/>
              </w:rPr>
              <w:t xml:space="preserve">CREDITOR OF: </w:t>
            </w:r>
          </w:p>
          <w:p w14:paraId="44FB5153" w14:textId="77777777" w:rsidR="007D0EBC" w:rsidRPr="00F6355F" w:rsidRDefault="007D0EBC" w:rsidP="003B20AC">
            <w:pPr>
              <w:spacing w:after="0"/>
              <w:jc w:val="center"/>
              <w:rPr>
                <w:rFonts w:ascii="Tahoma" w:hAnsi="Tahoma" w:cs="Tahoma"/>
                <w:b/>
                <w:bCs/>
              </w:rPr>
            </w:pPr>
            <w:r w:rsidRPr="00F6355F">
              <w:rPr>
                <w:rFonts w:ascii="Tahoma" w:hAnsi="Tahoma" w:cs="Tahoma"/>
                <w:b/>
                <w:bCs/>
              </w:rPr>
              <w:t>SERVICE OF CALLING-UP NOTICE/NOTICE OF DEFAULT</w:t>
            </w:r>
          </w:p>
          <w:p w14:paraId="786BAC6C" w14:textId="77777777" w:rsidR="007D0EBC" w:rsidRPr="00F6355F" w:rsidRDefault="007D0EBC" w:rsidP="003B20AC">
            <w:pPr>
              <w:spacing w:after="0"/>
              <w:jc w:val="center"/>
              <w:rPr>
                <w:rFonts w:ascii="Tahoma" w:hAnsi="Tahoma" w:cs="Tahoma"/>
                <w:b/>
                <w:bCs/>
              </w:rPr>
            </w:pPr>
            <w:r w:rsidRPr="00F6355F">
              <w:rPr>
                <w:rFonts w:ascii="Tahoma" w:hAnsi="Tahoma" w:cs="Tahoma"/>
                <w:b/>
                <w:bCs/>
              </w:rPr>
              <w:t>APPLICATION TO COURT FOR A WARRANT TO EXERCISE REMEDIES ON DEFAULT</w:t>
            </w:r>
          </w:p>
          <w:p w14:paraId="55C2B22E" w14:textId="77777777" w:rsidR="007D0EBC" w:rsidRPr="00F6355F" w:rsidRDefault="007D0EBC" w:rsidP="003B20AC">
            <w:pPr>
              <w:spacing w:after="0"/>
              <w:jc w:val="center"/>
              <w:rPr>
                <w:rFonts w:ascii="Tahoma" w:hAnsi="Tahoma" w:cs="Tahoma"/>
                <w:b/>
                <w:bCs/>
              </w:rPr>
            </w:pPr>
            <w:r w:rsidRPr="00F6355F">
              <w:rPr>
                <w:rFonts w:ascii="Tahoma" w:hAnsi="Tahoma" w:cs="Tahoma"/>
                <w:b/>
                <w:bCs/>
              </w:rPr>
              <w:t>PROCEEDINGS TO EJECT PROPRIETOR</w:t>
            </w:r>
          </w:p>
        </w:tc>
      </w:tr>
    </w:tbl>
    <w:p w14:paraId="15017D8E" w14:textId="77777777" w:rsidR="007C7392" w:rsidRDefault="007C7392"/>
    <w:p w14:paraId="44997743" w14:textId="77777777" w:rsidR="007D0EBC" w:rsidRPr="007D0EBC" w:rsidRDefault="007D0EBC" w:rsidP="007D0EBC">
      <w:r w:rsidRPr="007D0EBC">
        <w:t>If you are a social, private landlord or a creditor, you are legally required to tell the Council when you take action which puts a household at risk of homelessness due to eviction. You must do this when you submit an application to the First Tier Tribunal.</w:t>
      </w:r>
    </w:p>
    <w:p w14:paraId="4E8124CC" w14:textId="77777777" w:rsidR="007D0EBC" w:rsidRPr="007D0EBC" w:rsidRDefault="007D0EBC" w:rsidP="007D0EBC">
      <w:r w:rsidRPr="007D0EBC">
        <w:t>This is required under Section 11 of the Homelessness Etc (Scotland) Act 2003. This legislation aims to make sure we know in advance when a household is at risk of being evicted or having their home repossessed. This allows the local authority an opportunity to offer help to households at risk at an early stage and aim to prevent homelessness.</w:t>
      </w:r>
    </w:p>
    <w:p w14:paraId="4B6D8FAF" w14:textId="77777777" w:rsidR="007D0EBC" w:rsidRPr="007D0EBC" w:rsidRDefault="007D0EBC" w:rsidP="007D0EBC">
      <w:pPr>
        <w:rPr>
          <w:lang w:val="en-US"/>
        </w:rPr>
      </w:pPr>
      <w:r w:rsidRPr="007D0EBC">
        <w:rPr>
          <w:lang w:val="en-US"/>
        </w:rPr>
        <w:t xml:space="preserve">You can find out more information about how we use this data at: </w:t>
      </w:r>
      <w:hyperlink r:id="rId8" w:history="1">
        <w:r w:rsidRPr="007D0EBC">
          <w:rPr>
            <w:rStyle w:val="Hyperlink"/>
          </w:rPr>
          <w:t>Housing Service – Provision of Housing Advice - Privacy Statement | Argyll and Bute Council</w:t>
        </w:r>
      </w:hyperlink>
    </w:p>
    <w:p w14:paraId="452E03CA" w14:textId="77777777" w:rsidR="007D0EBC" w:rsidRPr="007D0EBC" w:rsidRDefault="007D0EBC" w:rsidP="007D0EBC">
      <w:pPr>
        <w:rPr>
          <w:lang w:val="en-US"/>
        </w:rPr>
      </w:pPr>
      <w:r w:rsidRPr="007D0EBC">
        <w:rPr>
          <w:lang w:val="en-US"/>
        </w:rPr>
        <w:t xml:space="preserve">For any further information, please contact </w:t>
      </w:r>
      <w:hyperlink r:id="rId9" w:history="1">
        <w:r w:rsidRPr="007D0EBC">
          <w:rPr>
            <w:rStyle w:val="Hyperlink"/>
            <w:lang w:val="en-US"/>
          </w:rPr>
          <w:t>section11enquiries@argyll-bute.gov.uk</w:t>
        </w:r>
      </w:hyperlink>
      <w:r w:rsidRPr="007D0EBC">
        <w:rPr>
          <w:lang w:val="en-US"/>
        </w:rPr>
        <w:t xml:space="preserve"> </w:t>
      </w:r>
    </w:p>
    <w:p w14:paraId="115446B6" w14:textId="77777777" w:rsidR="007D0EBC" w:rsidRPr="007D0EBC" w:rsidRDefault="007D0EBC" w:rsidP="007D0EBC">
      <w:pPr>
        <w:rPr>
          <w:i/>
          <w:u w:val="single"/>
        </w:rPr>
      </w:pPr>
      <w:r w:rsidRPr="007D0EBC">
        <w:rPr>
          <w:i/>
          <w:u w:val="single"/>
        </w:rPr>
        <w:t>Note to creditor</w:t>
      </w:r>
    </w:p>
    <w:p w14:paraId="69295DED" w14:textId="77777777" w:rsidR="007D0EBC" w:rsidRPr="007D0EBC" w:rsidRDefault="007D0EBC" w:rsidP="007D0EBC">
      <w:pPr>
        <w:rPr>
          <w:i/>
        </w:rPr>
      </w:pPr>
      <w:r w:rsidRPr="007D0EBC">
        <w:rPr>
          <w:i/>
        </w:rPr>
        <w:t>This form of notice must be used to give notice to a local authority where a creditor has served a calling-up notice or notice of default or has applied to court for a warrant to exercise any of the remedies which can be exercised on default of a standard security, or for a warrant for sale or has raised proceedings to eject a proprietor.</w:t>
      </w:r>
    </w:p>
    <w:p w14:paraId="73053492" w14:textId="77777777" w:rsidR="007D0EBC" w:rsidRPr="007D0EBC" w:rsidRDefault="007D0EBC" w:rsidP="007D0EBC">
      <w:pPr>
        <w:rPr>
          <w:i/>
        </w:rPr>
      </w:pPr>
      <w:r w:rsidRPr="007D0EBC">
        <w:rPr>
          <w:i/>
        </w:rPr>
        <w:t>A “calling-up notice” is a notice described in section 19 of the Conveyancing and Feudal Reform (Scotland) Act 1970 issued by a creditor in a standard security requiring discharge of the debt secured.</w:t>
      </w:r>
    </w:p>
    <w:p w14:paraId="29BEBF53" w14:textId="77777777" w:rsidR="007D0EBC" w:rsidRPr="007D0EBC" w:rsidRDefault="007D0EBC" w:rsidP="007D0EBC">
      <w:pPr>
        <w:rPr>
          <w:i/>
        </w:rPr>
      </w:pPr>
      <w:r w:rsidRPr="007D0EBC">
        <w:rPr>
          <w:i/>
        </w:rPr>
        <w:t>A “notice of default” is a notice described in section 21 of the Conveyancing and Feudal Reform (Scotland) Act 1970 issued by a creditor calling on a debtor to remedy a default.</w:t>
      </w:r>
    </w:p>
    <w:p w14:paraId="15BE976A" w14:textId="77777777" w:rsidR="007D0EBC" w:rsidRPr="007D0EBC" w:rsidRDefault="007D0EBC" w:rsidP="007D0EBC">
      <w:pPr>
        <w:rPr>
          <w:i/>
        </w:rPr>
      </w:pPr>
      <w:r w:rsidRPr="007D0EBC">
        <w:rPr>
          <w:i/>
        </w:rPr>
        <w:t>The remedies which a creditor is entitled to exercise when a debtor is in default are described in Schedule 3 to the Conveyancing and Feudal Reform (Scotland) Act 1970.  In terms of section 24 of that Act a creditor may apply to court for a warrant to exercise those remedies.</w:t>
      </w:r>
    </w:p>
    <w:p w14:paraId="4BC38331" w14:textId="77777777" w:rsidR="007D0EBC" w:rsidRPr="007D0EBC" w:rsidRDefault="007D0EBC" w:rsidP="007D0EBC">
      <w:pPr>
        <w:rPr>
          <w:i/>
        </w:rPr>
      </w:pPr>
      <w:r w:rsidRPr="007D0EBC">
        <w:rPr>
          <w:i/>
        </w:rPr>
        <w:t>Proceedings to eject a proprietor are raised under section 5 of the Heritable Securities (Scotland) Act 1894 and must be notified to the local authority by virtue of section 4(4) of the Mortgage Rights (Scotland) Act 2001.</w:t>
      </w:r>
    </w:p>
    <w:p w14:paraId="268CC5CB" w14:textId="77777777" w:rsidR="007D0EBC" w:rsidRPr="007D0EBC" w:rsidRDefault="007D0EBC" w:rsidP="007D0EBC"/>
    <w:p w14:paraId="018CD22B" w14:textId="77777777" w:rsidR="007D0EBC" w:rsidRPr="007D0EBC" w:rsidRDefault="007D0EBC" w:rsidP="007D0EBC">
      <w:pPr>
        <w:rPr>
          <w:b/>
        </w:rPr>
      </w:pPr>
      <w:r w:rsidRPr="007D0EBC">
        <w:rPr>
          <w:b/>
        </w:rPr>
        <w:lastRenderedPageBreak/>
        <w:t>Q1 – Please select which of the below options are applicable (see note to creditor for more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7847"/>
      </w:tblGrid>
      <w:tr w:rsidR="007D0EBC" w:rsidRPr="007D0EBC" w14:paraId="089E2C12" w14:textId="77777777" w:rsidTr="003B20AC">
        <w:tc>
          <w:tcPr>
            <w:tcW w:w="1169" w:type="dxa"/>
            <w:tcBorders>
              <w:top w:val="single" w:sz="4" w:space="0" w:color="auto"/>
              <w:left w:val="single" w:sz="4" w:space="0" w:color="auto"/>
              <w:bottom w:val="single" w:sz="4" w:space="0" w:color="auto"/>
              <w:right w:val="single" w:sz="4" w:space="0" w:color="auto"/>
            </w:tcBorders>
            <w:hideMark/>
          </w:tcPr>
          <w:p w14:paraId="126771CC" w14:textId="77777777" w:rsidR="007D0EBC" w:rsidRPr="007D0EBC" w:rsidRDefault="007D0EBC" w:rsidP="007D0EBC">
            <w:r w:rsidRPr="007D0EBC">
              <w:t>(1)</w:t>
            </w:r>
          </w:p>
        </w:tc>
        <w:tc>
          <w:tcPr>
            <w:tcW w:w="7847" w:type="dxa"/>
            <w:tcBorders>
              <w:top w:val="single" w:sz="4" w:space="0" w:color="auto"/>
              <w:left w:val="single" w:sz="4" w:space="0" w:color="auto"/>
              <w:bottom w:val="single" w:sz="4" w:space="0" w:color="auto"/>
              <w:right w:val="single" w:sz="4" w:space="0" w:color="auto"/>
            </w:tcBorders>
            <w:hideMark/>
          </w:tcPr>
          <w:p w14:paraId="25855F1A" w14:textId="77777777" w:rsidR="007D0EBC" w:rsidRPr="007D0EBC" w:rsidRDefault="007D0EBC" w:rsidP="007D0EBC">
            <w:pPr>
              <w:rPr>
                <w:bCs/>
              </w:rPr>
            </w:pPr>
            <w:r w:rsidRPr="007D0EBC">
              <w:rPr>
                <w:bCs/>
              </w:rPr>
              <w:t>Take note that a calling up notice/notice of default has been served as detailed below.</w:t>
            </w:r>
          </w:p>
        </w:tc>
      </w:tr>
      <w:tr w:rsidR="007D0EBC" w:rsidRPr="007D0EBC" w14:paraId="2155AAF2" w14:textId="77777777" w:rsidTr="003B20AC">
        <w:tc>
          <w:tcPr>
            <w:tcW w:w="1169" w:type="dxa"/>
            <w:tcBorders>
              <w:top w:val="single" w:sz="4" w:space="0" w:color="auto"/>
              <w:left w:val="single" w:sz="4" w:space="0" w:color="auto"/>
              <w:bottom w:val="single" w:sz="4" w:space="0" w:color="auto"/>
              <w:right w:val="single" w:sz="4" w:space="0" w:color="auto"/>
            </w:tcBorders>
            <w:hideMark/>
          </w:tcPr>
          <w:p w14:paraId="370D728A" w14:textId="77777777" w:rsidR="007D0EBC" w:rsidRPr="007D0EBC" w:rsidRDefault="007D0EBC" w:rsidP="007D0EBC">
            <w:r w:rsidRPr="007D0EBC">
              <w:t>(2)</w:t>
            </w:r>
          </w:p>
        </w:tc>
        <w:tc>
          <w:tcPr>
            <w:tcW w:w="7847" w:type="dxa"/>
            <w:tcBorders>
              <w:top w:val="single" w:sz="4" w:space="0" w:color="auto"/>
              <w:left w:val="single" w:sz="4" w:space="0" w:color="auto"/>
              <w:bottom w:val="single" w:sz="4" w:space="0" w:color="auto"/>
              <w:right w:val="single" w:sz="4" w:space="0" w:color="auto"/>
            </w:tcBorders>
            <w:hideMark/>
          </w:tcPr>
          <w:p w14:paraId="19EFD89C" w14:textId="77777777" w:rsidR="007D0EBC" w:rsidRPr="007D0EBC" w:rsidRDefault="007D0EBC" w:rsidP="007D0EBC">
            <w:pPr>
              <w:rPr>
                <w:bCs/>
              </w:rPr>
            </w:pPr>
            <w:r w:rsidRPr="007D0EBC">
              <w:rPr>
                <w:bCs/>
              </w:rPr>
              <w:t>Take note that an application to court has been made as detailed below for a warrant to exercise remedies on default.</w:t>
            </w:r>
          </w:p>
        </w:tc>
      </w:tr>
      <w:tr w:rsidR="007D0EBC" w:rsidRPr="007D0EBC" w14:paraId="692D6BAD" w14:textId="77777777" w:rsidTr="003B20AC">
        <w:tc>
          <w:tcPr>
            <w:tcW w:w="1169" w:type="dxa"/>
            <w:tcBorders>
              <w:top w:val="single" w:sz="4" w:space="0" w:color="auto"/>
              <w:left w:val="single" w:sz="4" w:space="0" w:color="auto"/>
              <w:bottom w:val="single" w:sz="4" w:space="0" w:color="auto"/>
              <w:right w:val="single" w:sz="4" w:space="0" w:color="auto"/>
            </w:tcBorders>
            <w:hideMark/>
          </w:tcPr>
          <w:p w14:paraId="6E8BCA52" w14:textId="77777777" w:rsidR="007D0EBC" w:rsidRPr="007D0EBC" w:rsidRDefault="007D0EBC" w:rsidP="007D0EBC">
            <w:r w:rsidRPr="007D0EBC">
              <w:t>(3)</w:t>
            </w:r>
          </w:p>
        </w:tc>
        <w:tc>
          <w:tcPr>
            <w:tcW w:w="7847" w:type="dxa"/>
            <w:tcBorders>
              <w:top w:val="single" w:sz="4" w:space="0" w:color="auto"/>
              <w:left w:val="single" w:sz="4" w:space="0" w:color="auto"/>
              <w:bottom w:val="single" w:sz="4" w:space="0" w:color="auto"/>
              <w:right w:val="single" w:sz="4" w:space="0" w:color="auto"/>
            </w:tcBorders>
            <w:hideMark/>
          </w:tcPr>
          <w:p w14:paraId="03DDA5C7" w14:textId="77777777" w:rsidR="007D0EBC" w:rsidRPr="007D0EBC" w:rsidRDefault="007D0EBC" w:rsidP="007D0EBC">
            <w:pPr>
              <w:rPr>
                <w:bCs/>
                <w:iCs/>
              </w:rPr>
            </w:pPr>
            <w:r w:rsidRPr="007D0EBC">
              <w:rPr>
                <w:bCs/>
                <w:iCs/>
              </w:rPr>
              <w:t>Take note that proceedings to eject a proprietor have been raised as detailed below.</w:t>
            </w:r>
          </w:p>
        </w:tc>
      </w:tr>
    </w:tbl>
    <w:p w14:paraId="0E88C862" w14:textId="77777777" w:rsidR="007D0EBC" w:rsidRPr="007D0EBC" w:rsidRDefault="007D0EBC" w:rsidP="007D0EBC">
      <w:pPr>
        <w:rPr>
          <w:b/>
          <w:bCs/>
          <w:lang w:val="en-US"/>
        </w:rPr>
      </w:pPr>
    </w:p>
    <w:p w14:paraId="307C06BC" w14:textId="77777777" w:rsidR="007D0EBC" w:rsidRPr="007D0EBC" w:rsidRDefault="007D0EBC" w:rsidP="007D0EBC">
      <w:pPr>
        <w:rPr>
          <w:b/>
          <w:bCs/>
          <w:lang w:val="en-US"/>
        </w:rPr>
      </w:pPr>
      <w:r w:rsidRPr="007D0EBC">
        <w:rPr>
          <w:b/>
          <w:bCs/>
          <w:lang w:val="en-US"/>
        </w:rPr>
        <w:t xml:space="preserve">Q2 - Name of Creditor </w:t>
      </w:r>
    </w:p>
    <w:tbl>
      <w:tblPr>
        <w:tblStyle w:val="TableGrid"/>
        <w:tblW w:w="0" w:type="auto"/>
        <w:tblLook w:val="04A0" w:firstRow="1" w:lastRow="0" w:firstColumn="1" w:lastColumn="0" w:noHBand="0" w:noVBand="1"/>
      </w:tblPr>
      <w:tblGrid>
        <w:gridCol w:w="9016"/>
      </w:tblGrid>
      <w:tr w:rsidR="007D0EBC" w:rsidRPr="007D0EBC" w14:paraId="275F05EC" w14:textId="77777777" w:rsidTr="003B20AC">
        <w:tc>
          <w:tcPr>
            <w:tcW w:w="9016" w:type="dxa"/>
          </w:tcPr>
          <w:p w14:paraId="211B1771" w14:textId="77777777" w:rsidR="007D0EBC" w:rsidRPr="007D0EBC" w:rsidRDefault="007D0EBC" w:rsidP="007D0EBC">
            <w:pPr>
              <w:spacing w:after="160" w:line="278" w:lineRule="auto"/>
              <w:rPr>
                <w:lang w:val="en-US"/>
              </w:rPr>
            </w:pPr>
          </w:p>
        </w:tc>
      </w:tr>
    </w:tbl>
    <w:p w14:paraId="0372E73C" w14:textId="77777777" w:rsidR="007D0EBC" w:rsidRPr="007D0EBC" w:rsidRDefault="007D0EBC" w:rsidP="007D0EBC"/>
    <w:p w14:paraId="6A1D9A9F" w14:textId="77777777" w:rsidR="007D0EBC" w:rsidRPr="007D0EBC" w:rsidRDefault="007D0EBC" w:rsidP="007D0EBC">
      <w:pPr>
        <w:rPr>
          <w:b/>
          <w:bCs/>
        </w:rPr>
      </w:pPr>
      <w:r w:rsidRPr="007D0EBC">
        <w:rPr>
          <w:b/>
          <w:bCs/>
        </w:rPr>
        <w:t xml:space="preserve">Q3 – Address of Creditor </w:t>
      </w:r>
    </w:p>
    <w:tbl>
      <w:tblPr>
        <w:tblStyle w:val="TableGrid"/>
        <w:tblW w:w="0" w:type="auto"/>
        <w:tblLook w:val="04A0" w:firstRow="1" w:lastRow="0" w:firstColumn="1" w:lastColumn="0" w:noHBand="0" w:noVBand="1"/>
      </w:tblPr>
      <w:tblGrid>
        <w:gridCol w:w="9016"/>
      </w:tblGrid>
      <w:tr w:rsidR="007D0EBC" w:rsidRPr="007D0EBC" w14:paraId="564E8BE1" w14:textId="77777777" w:rsidTr="003B20AC">
        <w:tc>
          <w:tcPr>
            <w:tcW w:w="9016" w:type="dxa"/>
          </w:tcPr>
          <w:p w14:paraId="0CC1BDF3" w14:textId="77777777" w:rsidR="007D0EBC" w:rsidRPr="007D0EBC" w:rsidRDefault="007D0EBC" w:rsidP="007D0EBC">
            <w:pPr>
              <w:spacing w:after="160" w:line="278" w:lineRule="auto"/>
            </w:pPr>
          </w:p>
          <w:p w14:paraId="7FA0D43D" w14:textId="77777777" w:rsidR="007D0EBC" w:rsidRPr="007D0EBC" w:rsidRDefault="007D0EBC" w:rsidP="007D0EBC">
            <w:pPr>
              <w:spacing w:after="160" w:line="278" w:lineRule="auto"/>
            </w:pPr>
          </w:p>
          <w:p w14:paraId="57FB1481" w14:textId="77777777" w:rsidR="007D0EBC" w:rsidRPr="007D0EBC" w:rsidRDefault="007D0EBC" w:rsidP="007D0EBC">
            <w:pPr>
              <w:spacing w:after="160" w:line="278" w:lineRule="auto"/>
            </w:pPr>
          </w:p>
        </w:tc>
      </w:tr>
    </w:tbl>
    <w:p w14:paraId="1E59099D" w14:textId="77777777" w:rsidR="007D0EBC" w:rsidRPr="007D0EBC" w:rsidRDefault="007D0EBC" w:rsidP="007D0EBC"/>
    <w:p w14:paraId="58D27B77" w14:textId="77777777" w:rsidR="007D0EBC" w:rsidRPr="007D0EBC" w:rsidRDefault="007D0EBC" w:rsidP="007D0EBC">
      <w:pPr>
        <w:rPr>
          <w:b/>
          <w:bCs/>
        </w:rPr>
      </w:pPr>
      <w:r w:rsidRPr="007D0EBC">
        <w:rPr>
          <w:b/>
          <w:bCs/>
        </w:rPr>
        <w:t>Q4 – Contact Details (Telephone and/or Email Address) of Creditor</w:t>
      </w:r>
    </w:p>
    <w:tbl>
      <w:tblPr>
        <w:tblStyle w:val="TableGrid"/>
        <w:tblW w:w="0" w:type="auto"/>
        <w:tblLook w:val="04A0" w:firstRow="1" w:lastRow="0" w:firstColumn="1" w:lastColumn="0" w:noHBand="0" w:noVBand="1"/>
      </w:tblPr>
      <w:tblGrid>
        <w:gridCol w:w="9016"/>
      </w:tblGrid>
      <w:tr w:rsidR="007D0EBC" w:rsidRPr="007D0EBC" w14:paraId="6A210BA2" w14:textId="77777777" w:rsidTr="003B20AC">
        <w:tc>
          <w:tcPr>
            <w:tcW w:w="9016" w:type="dxa"/>
          </w:tcPr>
          <w:p w14:paraId="1DD75D3F" w14:textId="77777777" w:rsidR="007D0EBC" w:rsidRPr="007D0EBC" w:rsidRDefault="007D0EBC" w:rsidP="007D0EBC">
            <w:pPr>
              <w:spacing w:after="160" w:line="278" w:lineRule="auto"/>
            </w:pPr>
          </w:p>
        </w:tc>
      </w:tr>
    </w:tbl>
    <w:p w14:paraId="10C82636" w14:textId="77777777" w:rsidR="007D0EBC" w:rsidRPr="007D0EBC" w:rsidRDefault="007D0EBC" w:rsidP="007D0EBC">
      <w:pPr>
        <w:rPr>
          <w:b/>
          <w:bCs/>
        </w:rPr>
      </w:pPr>
    </w:p>
    <w:p w14:paraId="696EAFB8" w14:textId="77777777" w:rsidR="007D0EBC" w:rsidRPr="007D0EBC" w:rsidRDefault="007D0EBC" w:rsidP="007D0EBC">
      <w:pPr>
        <w:rPr>
          <w:b/>
          <w:bCs/>
        </w:rPr>
      </w:pPr>
      <w:r w:rsidRPr="007D0EBC">
        <w:rPr>
          <w:b/>
          <w:bCs/>
        </w:rPr>
        <w:t>Q5 – Name of Creditor’s Legal Representatives</w:t>
      </w:r>
    </w:p>
    <w:tbl>
      <w:tblPr>
        <w:tblStyle w:val="TableGrid"/>
        <w:tblW w:w="0" w:type="auto"/>
        <w:tblLook w:val="04A0" w:firstRow="1" w:lastRow="0" w:firstColumn="1" w:lastColumn="0" w:noHBand="0" w:noVBand="1"/>
      </w:tblPr>
      <w:tblGrid>
        <w:gridCol w:w="9016"/>
      </w:tblGrid>
      <w:tr w:rsidR="007D0EBC" w:rsidRPr="007D0EBC" w14:paraId="0CAA63B4" w14:textId="77777777" w:rsidTr="003B20AC">
        <w:tc>
          <w:tcPr>
            <w:tcW w:w="9016" w:type="dxa"/>
          </w:tcPr>
          <w:p w14:paraId="56581855" w14:textId="77777777" w:rsidR="007D0EBC" w:rsidRPr="007D0EBC" w:rsidRDefault="007D0EBC" w:rsidP="007D0EBC">
            <w:pPr>
              <w:spacing w:after="160" w:line="278" w:lineRule="auto"/>
            </w:pPr>
          </w:p>
        </w:tc>
      </w:tr>
    </w:tbl>
    <w:p w14:paraId="7FBF964D" w14:textId="77777777" w:rsidR="007D0EBC" w:rsidRPr="007D0EBC" w:rsidRDefault="007D0EBC" w:rsidP="007D0EBC"/>
    <w:p w14:paraId="73F604BA" w14:textId="77777777" w:rsidR="007D0EBC" w:rsidRPr="007D0EBC" w:rsidRDefault="007D0EBC" w:rsidP="007D0EBC">
      <w:pPr>
        <w:rPr>
          <w:b/>
          <w:bCs/>
        </w:rPr>
      </w:pPr>
      <w:r w:rsidRPr="007D0EBC">
        <w:rPr>
          <w:b/>
          <w:bCs/>
        </w:rPr>
        <w:t>Q6 – Address of Creditor’s Legal Representatives</w:t>
      </w:r>
    </w:p>
    <w:tbl>
      <w:tblPr>
        <w:tblStyle w:val="TableGrid"/>
        <w:tblW w:w="0" w:type="auto"/>
        <w:tblLook w:val="04A0" w:firstRow="1" w:lastRow="0" w:firstColumn="1" w:lastColumn="0" w:noHBand="0" w:noVBand="1"/>
      </w:tblPr>
      <w:tblGrid>
        <w:gridCol w:w="9016"/>
      </w:tblGrid>
      <w:tr w:rsidR="007D0EBC" w:rsidRPr="007D0EBC" w14:paraId="5E471D8E" w14:textId="77777777" w:rsidTr="003B20AC">
        <w:tc>
          <w:tcPr>
            <w:tcW w:w="9016" w:type="dxa"/>
          </w:tcPr>
          <w:p w14:paraId="40203E0B" w14:textId="77777777" w:rsidR="007D0EBC" w:rsidRPr="007D0EBC" w:rsidRDefault="007D0EBC" w:rsidP="007D0EBC">
            <w:pPr>
              <w:spacing w:after="160" w:line="278" w:lineRule="auto"/>
            </w:pPr>
          </w:p>
          <w:p w14:paraId="2FF90A2F" w14:textId="77777777" w:rsidR="007D0EBC" w:rsidRPr="007D0EBC" w:rsidRDefault="007D0EBC" w:rsidP="007D0EBC">
            <w:pPr>
              <w:spacing w:after="160" w:line="278" w:lineRule="auto"/>
            </w:pPr>
          </w:p>
          <w:p w14:paraId="00086CEB" w14:textId="77777777" w:rsidR="007D0EBC" w:rsidRPr="007D0EBC" w:rsidRDefault="007D0EBC" w:rsidP="007D0EBC">
            <w:pPr>
              <w:spacing w:after="160" w:line="278" w:lineRule="auto"/>
            </w:pPr>
          </w:p>
        </w:tc>
      </w:tr>
    </w:tbl>
    <w:p w14:paraId="6945B48A" w14:textId="77777777" w:rsidR="007D0EBC" w:rsidRPr="007D0EBC" w:rsidRDefault="007D0EBC" w:rsidP="007D0EBC"/>
    <w:p w14:paraId="322C0573" w14:textId="77777777" w:rsidR="007D0EBC" w:rsidRPr="007D0EBC" w:rsidRDefault="007D0EBC" w:rsidP="007D0EBC">
      <w:pPr>
        <w:rPr>
          <w:b/>
          <w:bCs/>
        </w:rPr>
      </w:pPr>
      <w:r w:rsidRPr="007D0EBC">
        <w:rPr>
          <w:b/>
          <w:bCs/>
        </w:rPr>
        <w:lastRenderedPageBreak/>
        <w:t>Q7 – Contact Details (Telephone and/or Email Address) of Creditor’s Legal Representatives</w:t>
      </w:r>
    </w:p>
    <w:tbl>
      <w:tblPr>
        <w:tblStyle w:val="TableGrid"/>
        <w:tblW w:w="0" w:type="auto"/>
        <w:tblLook w:val="04A0" w:firstRow="1" w:lastRow="0" w:firstColumn="1" w:lastColumn="0" w:noHBand="0" w:noVBand="1"/>
      </w:tblPr>
      <w:tblGrid>
        <w:gridCol w:w="9016"/>
      </w:tblGrid>
      <w:tr w:rsidR="007D0EBC" w:rsidRPr="007D0EBC" w14:paraId="08D34B35" w14:textId="77777777" w:rsidTr="003B20AC">
        <w:tc>
          <w:tcPr>
            <w:tcW w:w="9016" w:type="dxa"/>
          </w:tcPr>
          <w:p w14:paraId="5DD9D528" w14:textId="77777777" w:rsidR="007D0EBC" w:rsidRPr="007D0EBC" w:rsidRDefault="007D0EBC" w:rsidP="007D0EBC">
            <w:pPr>
              <w:spacing w:after="160" w:line="278" w:lineRule="auto"/>
            </w:pPr>
          </w:p>
        </w:tc>
      </w:tr>
    </w:tbl>
    <w:p w14:paraId="2CF8E468" w14:textId="77777777" w:rsidR="007D0EBC" w:rsidRPr="007D0EBC" w:rsidRDefault="007D0EBC" w:rsidP="007D0EBC"/>
    <w:p w14:paraId="635F2D71" w14:textId="77777777" w:rsidR="007D0EBC" w:rsidRPr="007D0EBC" w:rsidRDefault="007D0EBC" w:rsidP="007D0EBC">
      <w:pPr>
        <w:rPr>
          <w:b/>
          <w:bCs/>
        </w:rPr>
      </w:pPr>
      <w:r w:rsidRPr="007D0EBC">
        <w:rPr>
          <w:b/>
          <w:bCs/>
        </w:rPr>
        <w:t>Q8 – Name of Debtor/Proprietor</w:t>
      </w:r>
    </w:p>
    <w:tbl>
      <w:tblPr>
        <w:tblStyle w:val="TableGrid"/>
        <w:tblW w:w="0" w:type="auto"/>
        <w:tblLook w:val="04A0" w:firstRow="1" w:lastRow="0" w:firstColumn="1" w:lastColumn="0" w:noHBand="0" w:noVBand="1"/>
      </w:tblPr>
      <w:tblGrid>
        <w:gridCol w:w="9016"/>
      </w:tblGrid>
      <w:tr w:rsidR="007D0EBC" w:rsidRPr="007D0EBC" w14:paraId="3DC39814" w14:textId="77777777" w:rsidTr="003B20AC">
        <w:tc>
          <w:tcPr>
            <w:tcW w:w="9016" w:type="dxa"/>
          </w:tcPr>
          <w:p w14:paraId="555F22B7" w14:textId="77777777" w:rsidR="007D0EBC" w:rsidRPr="007D0EBC" w:rsidRDefault="007D0EBC" w:rsidP="007D0EBC">
            <w:pPr>
              <w:spacing w:after="160" w:line="278" w:lineRule="auto"/>
            </w:pPr>
          </w:p>
        </w:tc>
      </w:tr>
    </w:tbl>
    <w:p w14:paraId="13AE09B1" w14:textId="77777777" w:rsidR="007D0EBC" w:rsidRPr="007D0EBC" w:rsidRDefault="007D0EBC" w:rsidP="007D0EBC"/>
    <w:p w14:paraId="16B67749" w14:textId="77777777" w:rsidR="007D0EBC" w:rsidRPr="007D0EBC" w:rsidRDefault="007D0EBC" w:rsidP="007D0EBC">
      <w:pPr>
        <w:rPr>
          <w:b/>
          <w:bCs/>
        </w:rPr>
      </w:pPr>
      <w:r w:rsidRPr="007D0EBC">
        <w:rPr>
          <w:b/>
          <w:bCs/>
        </w:rPr>
        <w:t>Q9 – Full Postal Address of Property Referred to in The Notice of Default or Application or Proceedings</w:t>
      </w:r>
    </w:p>
    <w:tbl>
      <w:tblPr>
        <w:tblStyle w:val="TableGrid"/>
        <w:tblW w:w="0" w:type="auto"/>
        <w:tblLook w:val="04A0" w:firstRow="1" w:lastRow="0" w:firstColumn="1" w:lastColumn="0" w:noHBand="0" w:noVBand="1"/>
      </w:tblPr>
      <w:tblGrid>
        <w:gridCol w:w="9016"/>
      </w:tblGrid>
      <w:tr w:rsidR="007D0EBC" w:rsidRPr="007D0EBC" w14:paraId="65E29F22" w14:textId="77777777" w:rsidTr="003B20AC">
        <w:tc>
          <w:tcPr>
            <w:tcW w:w="9016" w:type="dxa"/>
          </w:tcPr>
          <w:p w14:paraId="710AF6E5" w14:textId="77777777" w:rsidR="007D0EBC" w:rsidRPr="007D0EBC" w:rsidRDefault="007D0EBC" w:rsidP="007D0EBC">
            <w:pPr>
              <w:spacing w:after="160" w:line="278" w:lineRule="auto"/>
            </w:pPr>
          </w:p>
          <w:p w14:paraId="4CAEA50E" w14:textId="77777777" w:rsidR="007D0EBC" w:rsidRPr="007D0EBC" w:rsidRDefault="007D0EBC" w:rsidP="007D0EBC">
            <w:pPr>
              <w:spacing w:after="160" w:line="278" w:lineRule="auto"/>
            </w:pPr>
          </w:p>
          <w:p w14:paraId="62FED949" w14:textId="77777777" w:rsidR="007D0EBC" w:rsidRPr="007D0EBC" w:rsidRDefault="007D0EBC" w:rsidP="007D0EBC">
            <w:pPr>
              <w:spacing w:after="160" w:line="278" w:lineRule="auto"/>
            </w:pPr>
          </w:p>
        </w:tc>
      </w:tr>
    </w:tbl>
    <w:p w14:paraId="41FFBE7B" w14:textId="77777777" w:rsidR="007D0EBC" w:rsidRPr="007D0EBC" w:rsidRDefault="007D0EBC" w:rsidP="007D0EBC"/>
    <w:p w14:paraId="0B3B5A71" w14:textId="77777777" w:rsidR="007D0EBC" w:rsidRPr="007D0EBC" w:rsidRDefault="007D0EBC" w:rsidP="007D0EBC">
      <w:pPr>
        <w:rPr>
          <w:b/>
          <w:bCs/>
        </w:rPr>
      </w:pPr>
      <w:r w:rsidRPr="007D0EBC">
        <w:rPr>
          <w:b/>
          <w:bCs/>
        </w:rPr>
        <w:t>Q10 – Recording/Registration Date of the Standard Security (if applicable)</w:t>
      </w:r>
    </w:p>
    <w:tbl>
      <w:tblPr>
        <w:tblStyle w:val="TableGrid"/>
        <w:tblW w:w="0" w:type="auto"/>
        <w:tblLook w:val="04A0" w:firstRow="1" w:lastRow="0" w:firstColumn="1" w:lastColumn="0" w:noHBand="0" w:noVBand="1"/>
      </w:tblPr>
      <w:tblGrid>
        <w:gridCol w:w="9016"/>
      </w:tblGrid>
      <w:tr w:rsidR="007D0EBC" w:rsidRPr="007D0EBC" w14:paraId="2213E6B4" w14:textId="77777777" w:rsidTr="003B20AC">
        <w:tc>
          <w:tcPr>
            <w:tcW w:w="9016" w:type="dxa"/>
          </w:tcPr>
          <w:p w14:paraId="7F0947C9" w14:textId="77777777" w:rsidR="007D0EBC" w:rsidRPr="007D0EBC" w:rsidRDefault="007D0EBC" w:rsidP="007D0EBC">
            <w:pPr>
              <w:spacing w:after="160" w:line="278" w:lineRule="auto"/>
            </w:pPr>
          </w:p>
        </w:tc>
      </w:tr>
    </w:tbl>
    <w:p w14:paraId="70864474" w14:textId="77777777" w:rsidR="007D0EBC" w:rsidRPr="007D0EBC" w:rsidRDefault="007D0EBC" w:rsidP="007D0EBC"/>
    <w:p w14:paraId="69FD17C4" w14:textId="77777777" w:rsidR="007D0EBC" w:rsidRPr="007D0EBC" w:rsidRDefault="007D0EBC" w:rsidP="007D0EBC">
      <w:pPr>
        <w:rPr>
          <w:b/>
          <w:bCs/>
        </w:rPr>
      </w:pPr>
      <w:r w:rsidRPr="007D0EBC">
        <w:rPr>
          <w:b/>
          <w:bCs/>
        </w:rPr>
        <w:t>Q11 – Date of Notice of Default or Application or Raising of Proceedings</w:t>
      </w:r>
    </w:p>
    <w:tbl>
      <w:tblPr>
        <w:tblStyle w:val="TableGrid"/>
        <w:tblW w:w="0" w:type="auto"/>
        <w:tblLook w:val="04A0" w:firstRow="1" w:lastRow="0" w:firstColumn="1" w:lastColumn="0" w:noHBand="0" w:noVBand="1"/>
      </w:tblPr>
      <w:tblGrid>
        <w:gridCol w:w="9016"/>
      </w:tblGrid>
      <w:tr w:rsidR="007D0EBC" w:rsidRPr="007D0EBC" w14:paraId="79F1ABA1" w14:textId="77777777" w:rsidTr="003B20AC">
        <w:tc>
          <w:tcPr>
            <w:tcW w:w="9016" w:type="dxa"/>
          </w:tcPr>
          <w:p w14:paraId="2D859D56" w14:textId="77777777" w:rsidR="007D0EBC" w:rsidRPr="007D0EBC" w:rsidRDefault="007D0EBC" w:rsidP="007D0EBC">
            <w:pPr>
              <w:spacing w:after="160" w:line="278" w:lineRule="auto"/>
            </w:pPr>
          </w:p>
        </w:tc>
      </w:tr>
    </w:tbl>
    <w:p w14:paraId="475232F4" w14:textId="77777777" w:rsidR="007D0EBC" w:rsidRPr="007D0EBC" w:rsidRDefault="007D0EBC" w:rsidP="007D0EBC"/>
    <w:p w14:paraId="37799109" w14:textId="77777777" w:rsidR="007D0EBC" w:rsidRPr="007D0EBC" w:rsidRDefault="007D0EBC" w:rsidP="007D0EBC">
      <w:pPr>
        <w:rPr>
          <w:b/>
          <w:bCs/>
        </w:rPr>
      </w:pPr>
      <w:r w:rsidRPr="007D0EBC">
        <w:rPr>
          <w:b/>
          <w:bCs/>
        </w:rPr>
        <w:t>Q12 – Court in Which Application Made or Proceedings Raised</w:t>
      </w:r>
    </w:p>
    <w:tbl>
      <w:tblPr>
        <w:tblStyle w:val="TableGrid"/>
        <w:tblW w:w="0" w:type="auto"/>
        <w:tblLook w:val="04A0" w:firstRow="1" w:lastRow="0" w:firstColumn="1" w:lastColumn="0" w:noHBand="0" w:noVBand="1"/>
      </w:tblPr>
      <w:tblGrid>
        <w:gridCol w:w="9016"/>
      </w:tblGrid>
      <w:tr w:rsidR="007D0EBC" w:rsidRPr="007D0EBC" w14:paraId="0506E97B" w14:textId="77777777" w:rsidTr="003B20AC">
        <w:tc>
          <w:tcPr>
            <w:tcW w:w="9016" w:type="dxa"/>
          </w:tcPr>
          <w:p w14:paraId="4DBDCA4E" w14:textId="77777777" w:rsidR="007D0EBC" w:rsidRPr="007D0EBC" w:rsidRDefault="007D0EBC" w:rsidP="007D0EBC">
            <w:pPr>
              <w:spacing w:after="160" w:line="278" w:lineRule="auto"/>
            </w:pPr>
          </w:p>
        </w:tc>
      </w:tr>
    </w:tbl>
    <w:p w14:paraId="7537D0AC" w14:textId="77777777" w:rsidR="007D0EBC" w:rsidRPr="007D0EBC" w:rsidRDefault="007D0EBC" w:rsidP="007D0EBC"/>
    <w:p w14:paraId="24016D2B" w14:textId="77777777" w:rsidR="007D0EBC" w:rsidRDefault="007D0EBC"/>
    <w:sectPr w:rsidR="007D0EBC">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F41DF" w14:textId="77777777" w:rsidR="00E61F27" w:rsidRDefault="00E61F27" w:rsidP="007D0EBC">
      <w:pPr>
        <w:spacing w:after="0" w:line="240" w:lineRule="auto"/>
      </w:pPr>
      <w:r>
        <w:separator/>
      </w:r>
    </w:p>
  </w:endnote>
  <w:endnote w:type="continuationSeparator" w:id="0">
    <w:p w14:paraId="025B1AAA" w14:textId="77777777" w:rsidR="00E61F27" w:rsidRDefault="00E61F27" w:rsidP="007D0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298A" w14:textId="77777777" w:rsidR="00E61F27" w:rsidRDefault="00E61F27" w:rsidP="007D0EBC">
      <w:pPr>
        <w:spacing w:after="0" w:line="240" w:lineRule="auto"/>
      </w:pPr>
      <w:r>
        <w:separator/>
      </w:r>
    </w:p>
  </w:footnote>
  <w:footnote w:type="continuationSeparator" w:id="0">
    <w:p w14:paraId="708F8CDA" w14:textId="77777777" w:rsidR="00E61F27" w:rsidRDefault="00E61F27" w:rsidP="007D0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62E0" w14:textId="1D7031CF" w:rsidR="007D0EBC" w:rsidRDefault="007D0EBC">
    <w:pPr>
      <w:pStyle w:val="Header"/>
    </w:pPr>
    <w:r>
      <w:rPr>
        <w:noProof/>
      </w:rPr>
      <mc:AlternateContent>
        <mc:Choice Requires="wps">
          <w:drawing>
            <wp:anchor distT="0" distB="0" distL="0" distR="0" simplePos="0" relativeHeight="251659264" behindDoc="0" locked="0" layoutInCell="1" allowOverlap="1" wp14:anchorId="743397BB" wp14:editId="4223B2FF">
              <wp:simplePos x="635" y="635"/>
              <wp:positionH relativeFrom="page">
                <wp:align>left</wp:align>
              </wp:positionH>
              <wp:positionV relativeFrom="page">
                <wp:align>top</wp:align>
              </wp:positionV>
              <wp:extent cx="1721485" cy="387985"/>
              <wp:effectExtent l="0" t="0" r="12065" b="12065"/>
              <wp:wrapNone/>
              <wp:docPr id="1543442575"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400F60CB" w14:textId="290115A1" w:rsidR="007D0EBC" w:rsidRPr="007D0EBC" w:rsidRDefault="007D0EBC" w:rsidP="007D0EBC">
                          <w:pPr>
                            <w:spacing w:after="0"/>
                            <w:rPr>
                              <w:rFonts w:ascii="Aptos" w:eastAsia="Aptos" w:hAnsi="Aptos" w:cs="Aptos"/>
                              <w:noProof/>
                              <w:color w:val="0000FF"/>
                              <w:sz w:val="22"/>
                              <w:szCs w:val="22"/>
                            </w:rPr>
                          </w:pPr>
                          <w:r w:rsidRPr="007D0EBC">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43397BB" id="_x0000_t202" coordsize="21600,21600" o:spt="202" path="m,l,21600r21600,l21600,xe">
              <v:stroke joinstyle="miter"/>
              <v:path gradientshapeok="t" o:connecttype="rect"/>
            </v:shapetype>
            <v:shape id="Text Box 2" o:spid="_x0000_s1026" type="#_x0000_t202" alt="Classification: OFFICIAL" style="position:absolute;margin-left:0;margin-top:0;width:135.55pt;height:30.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YtDgIAABsEAAAOAAAAZHJzL2Uyb0RvYy54bWysU1tv2yAUfp+0/4B4X+xkzZpacaqsVaZJ&#10;UVspnfpMMMSWgIOAxM5+/Q7YSbquT9Ve4Nw4l+98zG87rchBON+AKel4lFMiDIeqMbuS/npefZlR&#10;4gMzFVNgREmPwtPbxedP89YWYgI1qEo4gkmML1pb0joEW2SZ57XQzI/ACoNOCU6zgKrbZZVjLWbX&#10;Kpvk+besBVdZB1x4j9b73kkXKb+UgodHKb0IRJUUewvpdOncxjNbzFmxc8zWDR/aYB/oQrPGYNFz&#10;qnsWGNm75p9UuuEOPMgw4qAzkLLhIs2A04zzN9NsamZFmgXB8fYMk/9/afnDYWOfHAndd+hwgRGQ&#10;1vrCozHO00mn442dEvQjhMczbKILhMdH15Px1WxKCUff19n1DcqYJru8ts6HHwI0iUJJHa4locUO&#10;ax/60FNILGZg1SiVVqPMXwbMGS3ZpcUohW7bDX1voTriOA76TXvLVw3WXDMfnpjD1eIESNfwiIdU&#10;0JYUBomSGtzv9+wxHhFHLyUtUqWkBrlMifppcBOT6VWeR2olbXyTT6PmkobC9iSYvb4DZOEYP4Tl&#10;SYxxQZ1E6UC/IJuXsRq6mOFYs6ThJN6Fnrj4G7hYLlMQssiysDYby2PqCFZE8rl7Yc4OcAdc1AOc&#10;yMSKN6j3sfGlt8t9QOzTSiKwPZoD3sjAtNTht0SKv9ZT1OVPL/4AAAD//wMAUEsDBBQABgAIAAAA&#10;IQAxn+X/2gAAAAQBAAAPAAAAZHJzL2Rvd25yZXYueG1sTI9PS8NAEMXvgt9hGcGb3aRolTSTIoKg&#10;YBFrsddtdvIHs7Mhu2nit3f0opd5DG947zf5ZnadOtEQWs8I6SIBRVx623KNsH9/vLoDFaJhazrP&#10;hPBFATbF+VluMusnfqPTLtZKQjhkBqGJsc+0DmVDzoSF74nFq/zgTJR1qLUdzCThrtPLJFlpZ1qW&#10;hsb09NBQ+bkbHcLTdTjEsapuwvZlOyXPk9uPrx+Ilxfz/RpUpDn+HcMPvqBDIUxHP7INqkOQR+Lv&#10;FG95m6agjggrUV3k+j988Q0AAP//AwBQSwECLQAUAAYACAAAACEAtoM4kv4AAADhAQAAEwAAAAAA&#10;AAAAAAAAAAAAAAAAW0NvbnRlbnRfVHlwZXNdLnhtbFBLAQItABQABgAIAAAAIQA4/SH/1gAAAJQB&#10;AAALAAAAAAAAAAAAAAAAAC8BAABfcmVscy8ucmVsc1BLAQItABQABgAIAAAAIQAgHEYtDgIAABsE&#10;AAAOAAAAAAAAAAAAAAAAAC4CAABkcnMvZTJvRG9jLnhtbFBLAQItABQABgAIAAAAIQAxn+X/2gAA&#10;AAQBAAAPAAAAAAAAAAAAAAAAAGgEAABkcnMvZG93bnJldi54bWxQSwUGAAAAAAQABADzAAAAbwUA&#10;AAAA&#10;" filled="f" stroked="f">
              <v:fill o:detectmouseclick="t"/>
              <v:textbox style="mso-fit-shape-to-text:t" inset="20pt,15pt,0,0">
                <w:txbxContent>
                  <w:p w14:paraId="400F60CB" w14:textId="290115A1" w:rsidR="007D0EBC" w:rsidRPr="007D0EBC" w:rsidRDefault="007D0EBC" w:rsidP="007D0EBC">
                    <w:pPr>
                      <w:spacing w:after="0"/>
                      <w:rPr>
                        <w:rFonts w:ascii="Aptos" w:eastAsia="Aptos" w:hAnsi="Aptos" w:cs="Aptos"/>
                        <w:noProof/>
                        <w:color w:val="0000FF"/>
                        <w:sz w:val="22"/>
                        <w:szCs w:val="22"/>
                      </w:rPr>
                    </w:pPr>
                    <w:r w:rsidRPr="007D0EBC">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BB4B" w14:textId="2554C4D3" w:rsidR="007D0EBC" w:rsidRDefault="007D0EBC">
    <w:pPr>
      <w:pStyle w:val="Header"/>
    </w:pPr>
    <w:r>
      <w:rPr>
        <w:noProof/>
      </w:rPr>
      <mc:AlternateContent>
        <mc:Choice Requires="wps">
          <w:drawing>
            <wp:anchor distT="0" distB="0" distL="0" distR="0" simplePos="0" relativeHeight="251660288" behindDoc="0" locked="0" layoutInCell="1" allowOverlap="1" wp14:anchorId="400F9DCE" wp14:editId="6EDF3967">
              <wp:simplePos x="914400" y="450850"/>
              <wp:positionH relativeFrom="page">
                <wp:align>left</wp:align>
              </wp:positionH>
              <wp:positionV relativeFrom="page">
                <wp:align>top</wp:align>
              </wp:positionV>
              <wp:extent cx="1721485" cy="387985"/>
              <wp:effectExtent l="0" t="0" r="12065" b="12065"/>
              <wp:wrapNone/>
              <wp:docPr id="131430902"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62AAA251" w14:textId="4721EF3E" w:rsidR="007D0EBC" w:rsidRPr="007D0EBC" w:rsidRDefault="007D0EBC" w:rsidP="007D0EBC">
                          <w:pPr>
                            <w:spacing w:after="0"/>
                            <w:rPr>
                              <w:rFonts w:ascii="Aptos" w:eastAsia="Aptos" w:hAnsi="Aptos" w:cs="Aptos"/>
                              <w:noProof/>
                              <w:color w:val="0000FF"/>
                              <w:sz w:val="22"/>
                              <w:szCs w:val="22"/>
                            </w:rPr>
                          </w:pPr>
                          <w:r w:rsidRPr="007D0EBC">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0F9DCE" id="_x0000_t202" coordsize="21600,21600" o:spt="202" path="m,l,21600r21600,l21600,xe">
              <v:stroke joinstyle="miter"/>
              <v:path gradientshapeok="t" o:connecttype="rect"/>
            </v:shapetype>
            <v:shape id="Text Box 3" o:spid="_x0000_s1027" type="#_x0000_t202" alt="Classification: OFFICIAL" style="position:absolute;margin-left:0;margin-top:0;width:135.55pt;height:30.5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4CzEgIAACIEAAAOAAAAZHJzL2Uyb0RvYy54bWysU01v2zAMvQ/YfxB0X+xkzZoacYqsRYYB&#10;RVsgHXpWZCk2IIuCxMTOfv0oOR9dt9Owi0yKND/ee5rf9q1he+VDA7bk41HOmbISqsZuS/7jZfVp&#10;xllAYSthwKqSH1Tgt4uPH+adK9QEajCV8oyK2FB0ruQ1oiuyLMhatSKMwClLQQ2+FUiu32aVFx1V&#10;b002yfMvWQe+ch6kCoFu74cgX6T6WiuJT1oHhcyUnGbDdPp0buKZLeai2Hrh6kYexxD/MEUrGktN&#10;z6XuBQq2880fpdpGegigcSShzUDrRqq0A20zzt9ts66FU2kXAie4M0zh/5WVj/u1e/YM+6/QE4ER&#10;kM6FItBl3KfXvo1fmpRRnCA8nGFTPTIZf7qejK9mU84kxT7Prm/IpjLZ5W/nA35T0LJolNwTLQkt&#10;sX8IOKSeUmIzC6vGmESNsb9dUM14k11GjBb2m5411ZvxN1AdaCsPA+HByVVDrR9EwGfhiWFahFSL&#10;T3RoA13J4WhxVoP/+bf7mE/AU5SzjhRTckuS5sx8t0TIZHqV51FhyRvf5NPo+eSRsTkZdtfeAYlx&#10;TO/CyWTGPDQnU3toX0nUy9iNQsJK6llyPJl3OOiXHoVUy2VKIjE5gQ927WQsHTGLgL70r8K7I+pI&#10;fD3CSVOieAf+kBv/DG65Q6IgMRPxHdA8wk5CTNweH01U+ls/ZV2e9uIXAAAA//8DAFBLAwQUAAYA&#10;CAAAACEAMZ/l/9oAAAAEAQAADwAAAGRycy9kb3ducmV2LnhtbEyPT0vDQBDF74LfYRnBm92kaJU0&#10;kyKCoGARa7HXbXbyB7OzIbtp4rd39KKXeQxveO83+WZ2nTrREFrPCOkiAUVcettyjbB/f7y6AxWi&#10;YWs6z4TwRQE2xflZbjLrJ36j0y7WSkI4ZAahibHPtA5lQ86Ehe+Jxav84EyUdai1Hcwk4a7TyyRZ&#10;aWdalobG9PTQUPm5Gx3C03U4xLGqbsL2ZTslz5Pbj68fiJcX8/0aVKQ5/h3DD76gQyFMRz+yDapD&#10;kEfi7xRveZumoI4IK1Fd5Po/fPENAAD//wMAUEsBAi0AFAAGAAgAAAAhALaDOJL+AAAA4QEAABMA&#10;AAAAAAAAAAAAAAAAAAAAAFtDb250ZW50X1R5cGVzXS54bWxQSwECLQAUAAYACAAAACEAOP0h/9YA&#10;AACUAQAACwAAAAAAAAAAAAAAAAAvAQAAX3JlbHMvLnJlbHNQSwECLQAUAAYACAAAACEAhRuAsxIC&#10;AAAiBAAADgAAAAAAAAAAAAAAAAAuAgAAZHJzL2Uyb0RvYy54bWxQSwECLQAUAAYACAAAACEAMZ/l&#10;/9oAAAAEAQAADwAAAAAAAAAAAAAAAABsBAAAZHJzL2Rvd25yZXYueG1sUEsFBgAAAAAEAAQA8wAA&#10;AHMFAAAAAA==&#10;" filled="f" stroked="f">
              <v:fill o:detectmouseclick="t"/>
              <v:textbox style="mso-fit-shape-to-text:t" inset="20pt,15pt,0,0">
                <w:txbxContent>
                  <w:p w14:paraId="62AAA251" w14:textId="4721EF3E" w:rsidR="007D0EBC" w:rsidRPr="007D0EBC" w:rsidRDefault="007D0EBC" w:rsidP="007D0EBC">
                    <w:pPr>
                      <w:spacing w:after="0"/>
                      <w:rPr>
                        <w:rFonts w:ascii="Aptos" w:eastAsia="Aptos" w:hAnsi="Aptos" w:cs="Aptos"/>
                        <w:noProof/>
                        <w:color w:val="0000FF"/>
                        <w:sz w:val="22"/>
                        <w:szCs w:val="22"/>
                      </w:rPr>
                    </w:pPr>
                    <w:r w:rsidRPr="007D0EBC">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69FC" w14:textId="61186396" w:rsidR="007D0EBC" w:rsidRDefault="007D0EBC">
    <w:pPr>
      <w:pStyle w:val="Header"/>
    </w:pPr>
    <w:r>
      <w:rPr>
        <w:noProof/>
      </w:rPr>
      <mc:AlternateContent>
        <mc:Choice Requires="wps">
          <w:drawing>
            <wp:anchor distT="0" distB="0" distL="0" distR="0" simplePos="0" relativeHeight="251658240" behindDoc="0" locked="0" layoutInCell="1" allowOverlap="1" wp14:anchorId="7FB15631" wp14:editId="50C72F63">
              <wp:simplePos x="635" y="635"/>
              <wp:positionH relativeFrom="page">
                <wp:align>left</wp:align>
              </wp:positionH>
              <wp:positionV relativeFrom="page">
                <wp:align>top</wp:align>
              </wp:positionV>
              <wp:extent cx="1721485" cy="387985"/>
              <wp:effectExtent l="0" t="0" r="12065" b="12065"/>
              <wp:wrapNone/>
              <wp:docPr id="1883863195"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48C96988" w14:textId="71E2687C" w:rsidR="007D0EBC" w:rsidRPr="007D0EBC" w:rsidRDefault="007D0EBC" w:rsidP="007D0EBC">
                          <w:pPr>
                            <w:spacing w:after="0"/>
                            <w:rPr>
                              <w:rFonts w:ascii="Aptos" w:eastAsia="Aptos" w:hAnsi="Aptos" w:cs="Aptos"/>
                              <w:noProof/>
                              <w:color w:val="0000FF"/>
                              <w:sz w:val="22"/>
                              <w:szCs w:val="22"/>
                            </w:rPr>
                          </w:pPr>
                          <w:r w:rsidRPr="007D0EBC">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FB15631" id="_x0000_t202" coordsize="21600,21600" o:spt="202" path="m,l,21600r21600,l21600,xe">
              <v:stroke joinstyle="miter"/>
              <v:path gradientshapeok="t" o:connecttype="rect"/>
            </v:shapetype>
            <v:shape id="Text Box 1" o:spid="_x0000_s1028" type="#_x0000_t202" alt="Classification: OFFICIAL" style="position:absolute;margin-left:0;margin-top:0;width:135.55pt;height:30.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PxFAIAACIEAAAOAAAAZHJzL2Uyb0RvYy54bWysU99v2jAQfp+0/8Hy+0hgZaURoWKtmCah&#10;thKd+mwcm0SyfZZtSNhfv7NDoOv6VO3FufNd7sf3fZ7fdlqRg3C+AVPS8SinRBgOVWN2Jf31vPoy&#10;o8QHZiqmwIiSHoWnt4vPn+atLcQEalCVcASLGF+0tqR1CLbIMs9roZkfgRUGgxKcZgFdt8sqx1qs&#10;rlU2yfNvWQuusg648B5v7/sgXaT6UgoeHqX0IhBVUpwtpNOlcxvPbDFnxc4xWzf8NAb7wBSaNQab&#10;nkvds8DI3jX/lNINd+BBhhEHnYGUDRdpB9xmnL/ZZlMzK9IuCI63Z5j8/yvLHw4b++RI6L5DhwRG&#10;QFrrC4+XcZ9OOh2/OCnBOEJ4PMMmukB4/Ol6Mr6aTSnhGPs6u75BG8tkl7+t8+GHAE2iUVKHtCS0&#10;2GHtQ586pMRmBlaNUokaZf66wJrxJruMGK3QbTvSVCWdDONvoTriVg56wr3lqwZbr5kPT8whw7gI&#10;qjY84iEVtCWFk0VJDe73e/cxH4HHKCUtKqakBiVNifppkJDJ9CrPo8KSN77Jp9FzyUNjOxhmr+8A&#10;xTjGd2F5MmNeUIMpHegXFPUydsMQMxx7ljQM5l3o9YuPgovlMiWhmCwLa7OxPJaOmEVAn7sX5uwJ&#10;9YB8PcCgKVa8Ab/PjX96u9wHpCAxE/Ht0TzBjkJM3J4eTVT6az9lXZ724g8AAAD//wMAUEsDBBQA&#10;BgAIAAAAIQAxn+X/2gAAAAQBAAAPAAAAZHJzL2Rvd25yZXYueG1sTI9PS8NAEMXvgt9hGcGb3aRo&#10;lTSTIoKgYBFrsddtdvIHs7Mhu2nit3f0opd5DG947zf5ZnadOtEQWs8I6SIBRVx623KNsH9/vLoD&#10;FaJhazrPhPBFATbF+VluMusnfqPTLtZKQjhkBqGJsc+0DmVDzoSF74nFq/zgTJR1qLUdzCThrtPL&#10;JFlpZ1qWhsb09NBQ+bkbHcLTdTjEsapuwvZlOyXPk9uPrx+Ilxfz/RpUpDn+HcMPvqBDIUxHP7IN&#10;qkOQR+LvFG95m6agjggrUV3k+j988Q0AAP//AwBQSwECLQAUAAYACAAAACEAtoM4kv4AAADhAQAA&#10;EwAAAAAAAAAAAAAAAAAAAAAAW0NvbnRlbnRfVHlwZXNdLnhtbFBLAQItABQABgAIAAAAIQA4/SH/&#10;1gAAAJQBAAALAAAAAAAAAAAAAAAAAC8BAABfcmVscy8ucmVsc1BLAQItABQABgAIAAAAIQDUjXPx&#10;FAIAACIEAAAOAAAAAAAAAAAAAAAAAC4CAABkcnMvZTJvRG9jLnhtbFBLAQItABQABgAIAAAAIQAx&#10;n+X/2gAAAAQBAAAPAAAAAAAAAAAAAAAAAG4EAABkcnMvZG93bnJldi54bWxQSwUGAAAAAAQABADz&#10;AAAAdQUAAAAA&#10;" filled="f" stroked="f">
              <v:fill o:detectmouseclick="t"/>
              <v:textbox style="mso-fit-shape-to-text:t" inset="20pt,15pt,0,0">
                <w:txbxContent>
                  <w:p w14:paraId="48C96988" w14:textId="71E2687C" w:rsidR="007D0EBC" w:rsidRPr="007D0EBC" w:rsidRDefault="007D0EBC" w:rsidP="007D0EBC">
                    <w:pPr>
                      <w:spacing w:after="0"/>
                      <w:rPr>
                        <w:rFonts w:ascii="Aptos" w:eastAsia="Aptos" w:hAnsi="Aptos" w:cs="Aptos"/>
                        <w:noProof/>
                        <w:color w:val="0000FF"/>
                        <w:sz w:val="22"/>
                        <w:szCs w:val="22"/>
                      </w:rPr>
                    </w:pPr>
                    <w:r w:rsidRPr="007D0EBC">
                      <w:rPr>
                        <w:rFonts w:ascii="Aptos" w:eastAsia="Aptos" w:hAnsi="Aptos" w:cs="Aptos"/>
                        <w:noProof/>
                        <w:color w:val="0000FF"/>
                        <w:sz w:val="22"/>
                        <w:szCs w:val="22"/>
                      </w:rPr>
                      <w:t>Classification: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EBC"/>
    <w:rsid w:val="002C0221"/>
    <w:rsid w:val="007C7392"/>
    <w:rsid w:val="007D0EBC"/>
    <w:rsid w:val="00803EF0"/>
    <w:rsid w:val="00E61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5447C"/>
  <w15:chartTrackingRefBased/>
  <w15:docId w15:val="{4972A4D5-0F48-495F-91B3-BB0BF8867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EBC"/>
  </w:style>
  <w:style w:type="paragraph" w:styleId="Heading1">
    <w:name w:val="heading 1"/>
    <w:basedOn w:val="Normal"/>
    <w:next w:val="Normal"/>
    <w:link w:val="Heading1Char"/>
    <w:uiPriority w:val="9"/>
    <w:qFormat/>
    <w:rsid w:val="007D0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EBC"/>
    <w:rPr>
      <w:rFonts w:eastAsiaTheme="majorEastAsia" w:cstheme="majorBidi"/>
      <w:color w:val="272727" w:themeColor="text1" w:themeTint="D8"/>
    </w:rPr>
  </w:style>
  <w:style w:type="paragraph" w:styleId="Title">
    <w:name w:val="Title"/>
    <w:basedOn w:val="Normal"/>
    <w:next w:val="Normal"/>
    <w:link w:val="TitleChar"/>
    <w:uiPriority w:val="10"/>
    <w:qFormat/>
    <w:rsid w:val="007D0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EBC"/>
    <w:pPr>
      <w:spacing w:before="160"/>
      <w:jc w:val="center"/>
    </w:pPr>
    <w:rPr>
      <w:i/>
      <w:iCs/>
      <w:color w:val="404040" w:themeColor="text1" w:themeTint="BF"/>
    </w:rPr>
  </w:style>
  <w:style w:type="character" w:customStyle="1" w:styleId="QuoteChar">
    <w:name w:val="Quote Char"/>
    <w:basedOn w:val="DefaultParagraphFont"/>
    <w:link w:val="Quote"/>
    <w:uiPriority w:val="29"/>
    <w:rsid w:val="007D0EBC"/>
    <w:rPr>
      <w:i/>
      <w:iCs/>
      <w:color w:val="404040" w:themeColor="text1" w:themeTint="BF"/>
    </w:rPr>
  </w:style>
  <w:style w:type="paragraph" w:styleId="ListParagraph">
    <w:name w:val="List Paragraph"/>
    <w:basedOn w:val="Normal"/>
    <w:uiPriority w:val="34"/>
    <w:qFormat/>
    <w:rsid w:val="007D0EBC"/>
    <w:pPr>
      <w:ind w:left="720"/>
      <w:contextualSpacing/>
    </w:pPr>
  </w:style>
  <w:style w:type="character" w:styleId="IntenseEmphasis">
    <w:name w:val="Intense Emphasis"/>
    <w:basedOn w:val="DefaultParagraphFont"/>
    <w:uiPriority w:val="21"/>
    <w:qFormat/>
    <w:rsid w:val="007D0EBC"/>
    <w:rPr>
      <w:i/>
      <w:iCs/>
      <w:color w:val="0F4761" w:themeColor="accent1" w:themeShade="BF"/>
    </w:rPr>
  </w:style>
  <w:style w:type="paragraph" w:styleId="IntenseQuote">
    <w:name w:val="Intense Quote"/>
    <w:basedOn w:val="Normal"/>
    <w:next w:val="Normal"/>
    <w:link w:val="IntenseQuoteChar"/>
    <w:uiPriority w:val="30"/>
    <w:qFormat/>
    <w:rsid w:val="007D0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EBC"/>
    <w:rPr>
      <w:i/>
      <w:iCs/>
      <w:color w:val="0F4761" w:themeColor="accent1" w:themeShade="BF"/>
    </w:rPr>
  </w:style>
  <w:style w:type="character" w:styleId="IntenseReference">
    <w:name w:val="Intense Reference"/>
    <w:basedOn w:val="DefaultParagraphFont"/>
    <w:uiPriority w:val="32"/>
    <w:qFormat/>
    <w:rsid w:val="007D0EBC"/>
    <w:rPr>
      <w:b/>
      <w:bCs/>
      <w:smallCaps/>
      <w:color w:val="0F4761" w:themeColor="accent1" w:themeShade="BF"/>
      <w:spacing w:val="5"/>
    </w:rPr>
  </w:style>
  <w:style w:type="paragraph" w:styleId="Header">
    <w:name w:val="header"/>
    <w:basedOn w:val="Normal"/>
    <w:link w:val="HeaderChar"/>
    <w:uiPriority w:val="99"/>
    <w:unhideWhenUsed/>
    <w:rsid w:val="007D0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EBC"/>
  </w:style>
  <w:style w:type="paragraph" w:styleId="Footer">
    <w:name w:val="footer"/>
    <w:basedOn w:val="Normal"/>
    <w:link w:val="FooterChar"/>
    <w:uiPriority w:val="99"/>
    <w:unhideWhenUsed/>
    <w:rsid w:val="007D0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EBC"/>
  </w:style>
  <w:style w:type="table" w:styleId="TableGrid">
    <w:name w:val="Table Grid"/>
    <w:basedOn w:val="TableNormal"/>
    <w:uiPriority w:val="39"/>
    <w:rsid w:val="007D0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0EBC"/>
    <w:rPr>
      <w:color w:val="467886" w:themeColor="hyperlink"/>
      <w:u w:val="single"/>
    </w:rPr>
  </w:style>
  <w:style w:type="character" w:styleId="UnresolvedMention">
    <w:name w:val="Unresolved Mention"/>
    <w:basedOn w:val="DefaultParagraphFont"/>
    <w:uiPriority w:val="99"/>
    <w:semiHidden/>
    <w:unhideWhenUsed/>
    <w:rsid w:val="007D0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yll-bute.gov.uk/housing/housing-advice/housing-service-provision-housing-advice-privacy-statemen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ection11enquiries@argyll-but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 Iona</dc:creator>
  <cp:keywords/>
  <dc:description/>
  <cp:lastModifiedBy>McMillan, Iona</cp:lastModifiedBy>
  <cp:revision>1</cp:revision>
  <dcterms:created xsi:type="dcterms:W3CDTF">2026-04-22T14:15:00Z</dcterms:created>
  <dcterms:modified xsi:type="dcterms:W3CDTF">2026-04-22T14:17:00Z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7049789b,5bff108f,7d579f6</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2026-04-22T14:17:25Z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0985b531-e76a-4a36-ae6d-aac4e0b6d426</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