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E07B" w14:textId="5FD89086" w:rsidR="00EE3275" w:rsidRPr="00EE3275" w:rsidRDefault="00EE3275" w:rsidP="00EE3275">
      <w:pPr>
        <w:jc w:val="right"/>
        <w:rPr>
          <w:sz w:val="32"/>
          <w:szCs w:val="32"/>
        </w:rPr>
      </w:pPr>
      <w:r w:rsidRPr="00EE3275">
        <w:rPr>
          <w:sz w:val="32"/>
          <w:szCs w:val="32"/>
        </w:rPr>
        <w:t>Appendix 3</w:t>
      </w:r>
    </w:p>
    <w:p w14:paraId="02246AC9" w14:textId="7D7DCFE8" w:rsidR="00CE5E81" w:rsidRPr="00DE014A" w:rsidRDefault="00450B7A" w:rsidP="00DE014A">
      <w:pPr>
        <w:jc w:val="center"/>
        <w:rPr>
          <w:b/>
          <w:bCs/>
          <w:sz w:val="32"/>
          <w:szCs w:val="32"/>
        </w:rPr>
      </w:pPr>
      <w:r w:rsidRPr="00DE014A">
        <w:rPr>
          <w:b/>
          <w:bCs/>
          <w:sz w:val="32"/>
          <w:szCs w:val="32"/>
        </w:rPr>
        <w:t>Proposed Amendments to the Best Practice Guidance 2022</w:t>
      </w:r>
    </w:p>
    <w:p w14:paraId="2D618215" w14:textId="77777777" w:rsidR="00450B7A" w:rsidRDefault="00450B7A"/>
    <w:p w14:paraId="692F8658" w14:textId="6056D5D8" w:rsidR="00450B7A" w:rsidRPr="00DE014A" w:rsidRDefault="00450B7A">
      <w:pPr>
        <w:rPr>
          <w:rFonts w:ascii="Arial" w:hAnsi="Arial" w:cs="Arial"/>
        </w:rPr>
      </w:pPr>
      <w:r w:rsidRPr="00DE014A">
        <w:rPr>
          <w:rFonts w:ascii="Arial" w:hAnsi="Arial" w:cs="Arial"/>
        </w:rPr>
        <w:t>Cover page updated to reflect the guidance will be from 2026-2030</w:t>
      </w:r>
      <w:r w:rsidR="00DE014A" w:rsidRPr="00DE014A">
        <w:rPr>
          <w:rFonts w:ascii="Arial" w:hAnsi="Arial" w:cs="Arial"/>
        </w:rPr>
        <w:t>.</w:t>
      </w:r>
    </w:p>
    <w:p w14:paraId="3645A1A9" w14:textId="14C1A8EE" w:rsidR="00850B1A" w:rsidRPr="00DE014A" w:rsidRDefault="00850B1A">
      <w:pPr>
        <w:rPr>
          <w:rFonts w:ascii="Arial" w:hAnsi="Arial" w:cs="Arial"/>
        </w:rPr>
      </w:pPr>
      <w:r w:rsidRPr="00DE014A">
        <w:rPr>
          <w:rFonts w:ascii="Arial" w:hAnsi="Arial" w:cs="Arial"/>
          <w:b/>
          <w:bCs/>
        </w:rPr>
        <w:t>Page 4, 12</w:t>
      </w:r>
      <w:r w:rsidRPr="00DE014A">
        <w:rPr>
          <w:rFonts w:ascii="Arial" w:hAnsi="Arial" w:cs="Arial"/>
        </w:rPr>
        <w:t xml:space="preserve"> – Removed </w:t>
      </w:r>
      <w:r w:rsidR="002A72D1" w:rsidRPr="00DE014A">
        <w:rPr>
          <w:rFonts w:ascii="Arial" w:hAnsi="Arial" w:cs="Arial"/>
        </w:rPr>
        <w:t>reference to audited accounts</w:t>
      </w:r>
      <w:r w:rsidRPr="00DE014A">
        <w:rPr>
          <w:rFonts w:ascii="Arial" w:hAnsi="Arial" w:cs="Arial"/>
        </w:rPr>
        <w:t xml:space="preserve"> and replace with independently examined, in accordance with the Scheme.</w:t>
      </w:r>
      <w:r w:rsidR="002A72D1" w:rsidRPr="00DE014A">
        <w:rPr>
          <w:rFonts w:ascii="Arial" w:hAnsi="Arial" w:cs="Arial"/>
        </w:rPr>
        <w:t xml:space="preserve">  Also make clear it will be draft AGM minutes that require to be submitted as part of the request to release an administration grant.</w:t>
      </w:r>
    </w:p>
    <w:p w14:paraId="51D4A2A7" w14:textId="10B058EA" w:rsidR="002A72D1" w:rsidRPr="00DE014A" w:rsidRDefault="002A72D1">
      <w:pPr>
        <w:rPr>
          <w:rFonts w:ascii="Arial" w:hAnsi="Arial" w:cs="Arial"/>
        </w:rPr>
      </w:pPr>
      <w:r w:rsidRPr="00DE014A">
        <w:rPr>
          <w:rFonts w:ascii="Arial" w:hAnsi="Arial" w:cs="Arial"/>
          <w:b/>
          <w:bCs/>
        </w:rPr>
        <w:t>Page 4, 1</w:t>
      </w:r>
      <w:r w:rsidR="00C20D61" w:rsidRPr="00DE014A">
        <w:rPr>
          <w:rFonts w:ascii="Arial" w:hAnsi="Arial" w:cs="Arial"/>
          <w:b/>
          <w:bCs/>
        </w:rPr>
        <w:t>4</w:t>
      </w:r>
      <w:r w:rsidRPr="00DE014A">
        <w:rPr>
          <w:rFonts w:ascii="Arial" w:hAnsi="Arial" w:cs="Arial"/>
        </w:rPr>
        <w:t xml:space="preserve"> – Remove provision for printing</w:t>
      </w:r>
      <w:r w:rsidR="00C20D61" w:rsidRPr="00DE014A">
        <w:rPr>
          <w:rFonts w:ascii="Arial" w:hAnsi="Arial" w:cs="Arial"/>
        </w:rPr>
        <w:t xml:space="preserve"> as this is used infrequently due to the use of email etc and puts CSC budgets under strain if large volume prints are suddenly requested.  A</w:t>
      </w:r>
      <w:r w:rsidRPr="00DE014A">
        <w:rPr>
          <w:rFonts w:ascii="Arial" w:hAnsi="Arial" w:cs="Arial"/>
        </w:rPr>
        <w:t>dministration budgets can be used to purchase print equipment and printer consumables</w:t>
      </w:r>
      <w:r w:rsidR="00C20D61" w:rsidRPr="00DE014A">
        <w:rPr>
          <w:rFonts w:ascii="Arial" w:hAnsi="Arial" w:cs="Arial"/>
        </w:rPr>
        <w:t>.</w:t>
      </w:r>
    </w:p>
    <w:p w14:paraId="07D8FD62" w14:textId="1CF889FA" w:rsidR="00C20D61" w:rsidRPr="00DE014A" w:rsidRDefault="00C20D61">
      <w:pPr>
        <w:rPr>
          <w:rFonts w:ascii="Arial" w:hAnsi="Arial" w:cs="Arial"/>
        </w:rPr>
      </w:pPr>
      <w:r w:rsidRPr="00DE014A">
        <w:rPr>
          <w:rFonts w:ascii="Arial" w:hAnsi="Arial" w:cs="Arial"/>
          <w:b/>
          <w:bCs/>
        </w:rPr>
        <w:t>Page 4, 17</w:t>
      </w:r>
      <w:r w:rsidRPr="00DE014A">
        <w:rPr>
          <w:rFonts w:ascii="Arial" w:hAnsi="Arial" w:cs="Arial"/>
        </w:rPr>
        <w:t xml:space="preserve"> – Add that recordings of area committees will be available.</w:t>
      </w:r>
    </w:p>
    <w:p w14:paraId="62D5DCC5" w14:textId="49593EAE" w:rsidR="00C20D61" w:rsidRPr="00DE014A" w:rsidRDefault="00C20D61">
      <w:pPr>
        <w:rPr>
          <w:rFonts w:ascii="Arial" w:hAnsi="Arial" w:cs="Arial"/>
        </w:rPr>
      </w:pPr>
      <w:r w:rsidRPr="00DE014A">
        <w:rPr>
          <w:rFonts w:ascii="Arial" w:hAnsi="Arial" w:cs="Arial"/>
          <w:b/>
          <w:bCs/>
        </w:rPr>
        <w:t>Page 5, 18</w:t>
      </w:r>
      <w:r w:rsidRPr="00DE014A">
        <w:rPr>
          <w:rFonts w:ascii="Arial" w:hAnsi="Arial" w:cs="Arial"/>
        </w:rPr>
        <w:t xml:space="preserve"> – Add that live streams of council meetings are available and include link.</w:t>
      </w:r>
    </w:p>
    <w:p w14:paraId="3A772411" w14:textId="40E2EB0B" w:rsidR="0028453A" w:rsidRPr="00DE014A" w:rsidRDefault="0028453A">
      <w:pPr>
        <w:rPr>
          <w:rFonts w:ascii="Arial" w:hAnsi="Arial" w:cs="Arial"/>
        </w:rPr>
      </w:pPr>
      <w:r w:rsidRPr="00DE014A">
        <w:rPr>
          <w:rFonts w:ascii="Arial" w:hAnsi="Arial" w:cs="Arial"/>
          <w:b/>
          <w:bCs/>
        </w:rPr>
        <w:t>Page 7, 10</w:t>
      </w:r>
      <w:r w:rsidRPr="00DE014A">
        <w:rPr>
          <w:rFonts w:ascii="Arial" w:hAnsi="Arial" w:cs="Arial"/>
        </w:rPr>
        <w:t xml:space="preserve"> – Make clear that having agreed priorities for the CC to achieve may encourage more people to become involved in the community council as there is clear purpose about what the CC want to achieve during the electoral term.</w:t>
      </w:r>
    </w:p>
    <w:p w14:paraId="52D5219D" w14:textId="0C841D08" w:rsidR="001D6949" w:rsidRDefault="001D6949">
      <w:pPr>
        <w:rPr>
          <w:rFonts w:ascii="Arial" w:hAnsi="Arial" w:cs="Arial"/>
        </w:rPr>
      </w:pPr>
      <w:r w:rsidRPr="00DE014A">
        <w:rPr>
          <w:rFonts w:ascii="Arial" w:hAnsi="Arial" w:cs="Arial"/>
          <w:b/>
          <w:bCs/>
        </w:rPr>
        <w:t>Page 7, 13</w:t>
      </w:r>
      <w:r w:rsidRPr="00DE014A">
        <w:rPr>
          <w:rFonts w:ascii="Arial" w:hAnsi="Arial" w:cs="Arial"/>
        </w:rPr>
        <w:t xml:space="preserve"> – clarify that minutes should be displayed in accordance with Constitution.</w:t>
      </w:r>
    </w:p>
    <w:p w14:paraId="0940B60C" w14:textId="33209F12" w:rsidR="00937256" w:rsidRDefault="00937256">
      <w:pPr>
        <w:rPr>
          <w:rFonts w:ascii="Arial" w:hAnsi="Arial" w:cs="Arial"/>
        </w:rPr>
      </w:pPr>
      <w:r w:rsidRPr="00937256">
        <w:rPr>
          <w:rFonts w:ascii="Arial" w:hAnsi="Arial" w:cs="Arial"/>
          <w:b/>
          <w:bCs/>
        </w:rPr>
        <w:t>Page 9, 1.1.1</w:t>
      </w:r>
      <w:r>
        <w:rPr>
          <w:rFonts w:ascii="Arial" w:hAnsi="Arial" w:cs="Arial"/>
        </w:rPr>
        <w:t xml:space="preserve"> – Update all relevant contact information for services</w:t>
      </w:r>
      <w:r w:rsidR="0090076D">
        <w:rPr>
          <w:rFonts w:ascii="Arial" w:hAnsi="Arial" w:cs="Arial"/>
        </w:rPr>
        <w:t>.</w:t>
      </w:r>
    </w:p>
    <w:p w14:paraId="17A343C5" w14:textId="23453B3C" w:rsidR="0090076D" w:rsidRDefault="0090076D">
      <w:pPr>
        <w:rPr>
          <w:rFonts w:ascii="Arial" w:hAnsi="Arial" w:cs="Arial"/>
        </w:rPr>
      </w:pPr>
      <w:r>
        <w:rPr>
          <w:rFonts w:ascii="Arial" w:hAnsi="Arial" w:cs="Arial"/>
          <w:b/>
          <w:bCs/>
        </w:rPr>
        <w:t xml:space="preserve">Page 10, 3.1 </w:t>
      </w:r>
      <w:r>
        <w:rPr>
          <w:rFonts w:ascii="Arial" w:hAnsi="Arial" w:cs="Arial"/>
        </w:rPr>
        <w:t>– Update to reference changes to the “Customer Service Charter”.</w:t>
      </w:r>
    </w:p>
    <w:p w14:paraId="7577F9D3" w14:textId="74077A54" w:rsidR="00782F13" w:rsidRPr="00E67FD1" w:rsidRDefault="00782F13">
      <w:pPr>
        <w:rPr>
          <w:rFonts w:ascii="Arial" w:hAnsi="Arial" w:cs="Arial"/>
        </w:rPr>
      </w:pPr>
      <w:r w:rsidRPr="00E67FD1">
        <w:rPr>
          <w:rFonts w:ascii="Arial" w:hAnsi="Arial" w:cs="Arial"/>
          <w:b/>
          <w:bCs/>
        </w:rPr>
        <w:t>Page 11, 6.1</w:t>
      </w:r>
      <w:r w:rsidRPr="00E67FD1">
        <w:rPr>
          <w:rFonts w:ascii="Arial" w:hAnsi="Arial" w:cs="Arial"/>
        </w:rPr>
        <w:t xml:space="preserve"> – Remove reference to the Complaints process as the complaints process is only accessible to a “member of the public”, as defined by Section 5 of the Scottish Public Services Ombudsman Act 2002.  This does not preclude a community council from </w:t>
      </w:r>
      <w:r w:rsidR="00E67FD1" w:rsidRPr="00E67FD1">
        <w:rPr>
          <w:rFonts w:ascii="Arial" w:hAnsi="Arial" w:cs="Arial"/>
        </w:rPr>
        <w:t>raising issues with Service Manager where they are not satisfied with the action taken or</w:t>
      </w:r>
      <w:r w:rsidR="00E67FD1" w:rsidRPr="00E67FD1">
        <w:rPr>
          <w:rFonts w:ascii="Arial" w:hAnsi="Arial" w:cs="Arial"/>
          <w:spacing w:val="1"/>
        </w:rPr>
        <w:t xml:space="preserve"> </w:t>
      </w:r>
      <w:r w:rsidR="00E67FD1" w:rsidRPr="00E67FD1">
        <w:rPr>
          <w:rFonts w:ascii="Arial" w:hAnsi="Arial" w:cs="Arial"/>
        </w:rPr>
        <w:t xml:space="preserve">response to an enquiry, or from </w:t>
      </w:r>
      <w:r w:rsidRPr="00E67FD1">
        <w:rPr>
          <w:rFonts w:ascii="Arial" w:hAnsi="Arial" w:cs="Arial"/>
        </w:rPr>
        <w:t xml:space="preserve">acting on behalf of a member of the public or helping a person complain.  In this case the person’s written consent for the community council to act on their behalf would be sought. </w:t>
      </w:r>
    </w:p>
    <w:p w14:paraId="0C8E3B2A" w14:textId="68B967C8" w:rsidR="00DE014A" w:rsidRPr="00DE014A" w:rsidRDefault="00DE014A">
      <w:pPr>
        <w:rPr>
          <w:rFonts w:ascii="Arial" w:hAnsi="Arial" w:cs="Arial"/>
        </w:rPr>
      </w:pPr>
      <w:r w:rsidRPr="00DE014A">
        <w:rPr>
          <w:rFonts w:ascii="Arial" w:hAnsi="Arial" w:cs="Arial"/>
          <w:b/>
          <w:bCs/>
        </w:rPr>
        <w:t>Page 14, 4.1</w:t>
      </w:r>
      <w:r w:rsidRPr="00DE014A">
        <w:rPr>
          <w:rFonts w:ascii="Arial" w:hAnsi="Arial" w:cs="Arial"/>
        </w:rPr>
        <w:t xml:space="preserve"> – Remove reference to the person examining the accounts being “preferably a qualified accountant” to be consistent with provisions in the Scheme which read “</w:t>
      </w:r>
      <w:r w:rsidRPr="00DE014A">
        <w:rPr>
          <w:rFonts w:ascii="Arial" w:hAnsi="Arial" w:cs="Arial"/>
          <w:highlight w:val="white"/>
        </w:rPr>
        <w:t>examined by a person of good standing appointed by the community council, who must not be a member of that community council</w:t>
      </w:r>
      <w:r w:rsidRPr="00DE014A">
        <w:rPr>
          <w:rFonts w:ascii="Arial" w:hAnsi="Arial" w:cs="Arial"/>
        </w:rPr>
        <w:t>”</w:t>
      </w:r>
    </w:p>
    <w:sectPr w:rsidR="00DE014A" w:rsidRPr="00DE01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DE62" w14:textId="77777777" w:rsidR="00BE68B4" w:rsidRDefault="00BE68B4" w:rsidP="00BE68B4">
      <w:pPr>
        <w:spacing w:after="0" w:line="240" w:lineRule="auto"/>
      </w:pPr>
      <w:r>
        <w:separator/>
      </w:r>
    </w:p>
  </w:endnote>
  <w:endnote w:type="continuationSeparator" w:id="0">
    <w:p w14:paraId="272C8785" w14:textId="77777777" w:rsidR="00BE68B4" w:rsidRDefault="00BE68B4" w:rsidP="00BE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58AA" w14:textId="77777777" w:rsidR="00437158" w:rsidRDefault="0043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6B2C" w14:textId="77777777" w:rsidR="00437158" w:rsidRDefault="00437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FDAF" w14:textId="77777777" w:rsidR="00437158" w:rsidRDefault="0043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8DE9" w14:textId="77777777" w:rsidR="00BE68B4" w:rsidRDefault="00BE68B4" w:rsidP="00BE68B4">
      <w:pPr>
        <w:spacing w:after="0" w:line="240" w:lineRule="auto"/>
      </w:pPr>
      <w:r>
        <w:separator/>
      </w:r>
    </w:p>
  </w:footnote>
  <w:footnote w:type="continuationSeparator" w:id="0">
    <w:p w14:paraId="1A294C18" w14:textId="77777777" w:rsidR="00BE68B4" w:rsidRDefault="00BE68B4" w:rsidP="00BE6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57CE" w14:textId="5EDA1EAA" w:rsidR="00BE68B4" w:rsidRDefault="00BE68B4">
    <w:pPr>
      <w:pStyle w:val="Header"/>
    </w:pPr>
    <w:r>
      <w:rPr>
        <w:noProof/>
      </w:rPr>
      <mc:AlternateContent>
        <mc:Choice Requires="wps">
          <w:drawing>
            <wp:anchor distT="0" distB="0" distL="0" distR="0" simplePos="0" relativeHeight="251659264" behindDoc="0" locked="0" layoutInCell="1" allowOverlap="1" wp14:anchorId="70D74BE0" wp14:editId="587F0997">
              <wp:simplePos x="635" y="635"/>
              <wp:positionH relativeFrom="page">
                <wp:align>left</wp:align>
              </wp:positionH>
              <wp:positionV relativeFrom="page">
                <wp:align>top</wp:align>
              </wp:positionV>
              <wp:extent cx="1565910" cy="387985"/>
              <wp:effectExtent l="0" t="0" r="15240" b="12065"/>
              <wp:wrapNone/>
              <wp:docPr id="127690473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793E14CD" w14:textId="5DB0FD6C" w:rsidR="00BE68B4" w:rsidRPr="00BE68B4" w:rsidRDefault="00BE68B4" w:rsidP="00BE68B4">
                          <w:pPr>
                            <w:spacing w:after="0"/>
                            <w:rPr>
                              <w:rFonts w:ascii="Calibri" w:eastAsia="Calibri" w:hAnsi="Calibri" w:cs="Calibri"/>
                              <w:noProof/>
                              <w:color w:val="0000FF"/>
                              <w:sz w:val="22"/>
                              <w:szCs w:val="22"/>
                            </w:rPr>
                          </w:pPr>
                          <w:r w:rsidRPr="00BE68B4">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D74BE0" id="_x0000_t202" coordsize="21600,21600" o:spt="202" path="m,l,21600r21600,l21600,xe">
              <v:stroke joinstyle="miter"/>
              <v:path gradientshapeok="t" o:connecttype="rect"/>
            </v:shapetype>
            <v:shape id="Text Box 2" o:spid="_x0000_s1026" type="#_x0000_t202" alt="Classification: OFFICIAL" style="position:absolute;margin-left:0;margin-top:0;width:123.3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" filled="f" stroked="f">
              <v:fill o:detectmouseclick="t"/>
              <v:textbox style="mso-fit-shape-to-text:t" inset="20pt,15pt,0,0">
                <w:txbxContent>
                  <w:p w14:paraId="793E14CD" w14:textId="5DB0FD6C" w:rsidR="00BE68B4" w:rsidRPr="00BE68B4" w:rsidRDefault="00BE68B4" w:rsidP="00BE68B4">
                    <w:pPr>
                      <w:spacing w:after="0"/>
                      <w:rPr>
                        <w:rFonts w:ascii="Calibri" w:eastAsia="Calibri" w:hAnsi="Calibri" w:cs="Calibri"/>
                        <w:noProof/>
                        <w:color w:val="0000FF"/>
                        <w:sz w:val="22"/>
                        <w:szCs w:val="22"/>
                      </w:rPr>
                    </w:pPr>
                    <w:r w:rsidRPr="00BE68B4">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AC82" w14:textId="0167962D" w:rsidR="00BE68B4" w:rsidRPr="00437158" w:rsidRDefault="00BE68B4" w:rsidP="00437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2224" w14:textId="1007CC03" w:rsidR="00BE68B4" w:rsidRDefault="00BE68B4">
    <w:pPr>
      <w:pStyle w:val="Header"/>
    </w:pPr>
    <w:r>
      <w:rPr>
        <w:noProof/>
      </w:rPr>
      <mc:AlternateContent>
        <mc:Choice Requires="wps">
          <w:drawing>
            <wp:anchor distT="0" distB="0" distL="0" distR="0" simplePos="0" relativeHeight="251658240" behindDoc="0" locked="0" layoutInCell="1" allowOverlap="1" wp14:anchorId="162A5B38" wp14:editId="3DB59BC2">
              <wp:simplePos x="635" y="635"/>
              <wp:positionH relativeFrom="page">
                <wp:align>left</wp:align>
              </wp:positionH>
              <wp:positionV relativeFrom="page">
                <wp:align>top</wp:align>
              </wp:positionV>
              <wp:extent cx="1565910" cy="387985"/>
              <wp:effectExtent l="0" t="0" r="15240" b="12065"/>
              <wp:wrapNone/>
              <wp:docPr id="53770081"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5910" cy="387985"/>
                      </a:xfrm>
                      <a:prstGeom prst="rect">
                        <a:avLst/>
                      </a:prstGeom>
                      <a:noFill/>
                      <a:ln>
                        <a:noFill/>
                      </a:ln>
                    </wps:spPr>
                    <wps:txbx>
                      <w:txbxContent>
                        <w:p w14:paraId="2F97E34B" w14:textId="70F78637" w:rsidR="00BE68B4" w:rsidRPr="00BE68B4" w:rsidRDefault="00BE68B4" w:rsidP="00BE68B4">
                          <w:pPr>
                            <w:spacing w:after="0"/>
                            <w:rPr>
                              <w:rFonts w:ascii="Calibri" w:eastAsia="Calibri" w:hAnsi="Calibri" w:cs="Calibri"/>
                              <w:noProof/>
                              <w:color w:val="0000FF"/>
                              <w:sz w:val="22"/>
                              <w:szCs w:val="22"/>
                            </w:rPr>
                          </w:pPr>
                          <w:r w:rsidRPr="00BE68B4">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2A5B38" id="_x0000_t202" coordsize="21600,21600" o:spt="202" path="m,l,21600r21600,l21600,xe">
              <v:stroke joinstyle="miter"/>
              <v:path gradientshapeok="t" o:connecttype="rect"/>
            </v:shapetype>
            <v:shape id="Text Box 1" o:spid="_x0000_s1028" type="#_x0000_t202" alt="Classification: OFFICIAL" style="position:absolute;margin-left:0;margin-top:0;width:123.3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" filled="f" stroked="f">
              <v:fill o:detectmouseclick="t"/>
              <v:textbox style="mso-fit-shape-to-text:t" inset="20pt,15pt,0,0">
                <w:txbxContent>
                  <w:p w14:paraId="2F97E34B" w14:textId="70F78637" w:rsidR="00BE68B4" w:rsidRPr="00BE68B4" w:rsidRDefault="00BE68B4" w:rsidP="00BE68B4">
                    <w:pPr>
                      <w:spacing w:after="0"/>
                      <w:rPr>
                        <w:rFonts w:ascii="Calibri" w:eastAsia="Calibri" w:hAnsi="Calibri" w:cs="Calibri"/>
                        <w:noProof/>
                        <w:color w:val="0000FF"/>
                        <w:sz w:val="22"/>
                        <w:szCs w:val="22"/>
                      </w:rPr>
                    </w:pPr>
                    <w:r w:rsidRPr="00BE68B4">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7A"/>
    <w:rsid w:val="000B5895"/>
    <w:rsid w:val="001D6949"/>
    <w:rsid w:val="0028453A"/>
    <w:rsid w:val="002A72D1"/>
    <w:rsid w:val="003C5CDA"/>
    <w:rsid w:val="00437158"/>
    <w:rsid w:val="00450B7A"/>
    <w:rsid w:val="00782F13"/>
    <w:rsid w:val="00850B1A"/>
    <w:rsid w:val="008F2EB2"/>
    <w:rsid w:val="0090076D"/>
    <w:rsid w:val="00937256"/>
    <w:rsid w:val="00987ADA"/>
    <w:rsid w:val="00BE68B4"/>
    <w:rsid w:val="00C20D61"/>
    <w:rsid w:val="00CE5E81"/>
    <w:rsid w:val="00DE014A"/>
    <w:rsid w:val="00E67FD1"/>
    <w:rsid w:val="00EE3275"/>
    <w:rsid w:val="00F46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ED99A"/>
  <w15:chartTrackingRefBased/>
  <w15:docId w15:val="{6543A180-EC8F-4578-94CD-B7427B19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7A"/>
    <w:rPr>
      <w:rFonts w:eastAsiaTheme="majorEastAsia" w:cstheme="majorBidi"/>
      <w:color w:val="272727" w:themeColor="text1" w:themeTint="D8"/>
    </w:rPr>
  </w:style>
  <w:style w:type="paragraph" w:styleId="Title">
    <w:name w:val="Title"/>
    <w:basedOn w:val="Normal"/>
    <w:next w:val="Normal"/>
    <w:link w:val="TitleChar"/>
    <w:uiPriority w:val="10"/>
    <w:qFormat/>
    <w:rsid w:val="00450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7A"/>
    <w:pPr>
      <w:spacing w:before="160"/>
      <w:jc w:val="center"/>
    </w:pPr>
    <w:rPr>
      <w:i/>
      <w:iCs/>
      <w:color w:val="404040" w:themeColor="text1" w:themeTint="BF"/>
    </w:rPr>
  </w:style>
  <w:style w:type="character" w:customStyle="1" w:styleId="QuoteChar">
    <w:name w:val="Quote Char"/>
    <w:basedOn w:val="DefaultParagraphFont"/>
    <w:link w:val="Quote"/>
    <w:uiPriority w:val="29"/>
    <w:rsid w:val="00450B7A"/>
    <w:rPr>
      <w:i/>
      <w:iCs/>
      <w:color w:val="404040" w:themeColor="text1" w:themeTint="BF"/>
    </w:rPr>
  </w:style>
  <w:style w:type="paragraph" w:styleId="ListParagraph">
    <w:name w:val="List Paragraph"/>
    <w:basedOn w:val="Normal"/>
    <w:uiPriority w:val="34"/>
    <w:qFormat/>
    <w:rsid w:val="00450B7A"/>
    <w:pPr>
      <w:ind w:left="720"/>
      <w:contextualSpacing/>
    </w:pPr>
  </w:style>
  <w:style w:type="character" w:styleId="IntenseEmphasis">
    <w:name w:val="Intense Emphasis"/>
    <w:basedOn w:val="DefaultParagraphFont"/>
    <w:uiPriority w:val="21"/>
    <w:qFormat/>
    <w:rsid w:val="00450B7A"/>
    <w:rPr>
      <w:i/>
      <w:iCs/>
      <w:color w:val="0F4761" w:themeColor="accent1" w:themeShade="BF"/>
    </w:rPr>
  </w:style>
  <w:style w:type="paragraph" w:styleId="IntenseQuote">
    <w:name w:val="Intense Quote"/>
    <w:basedOn w:val="Normal"/>
    <w:next w:val="Normal"/>
    <w:link w:val="IntenseQuoteChar"/>
    <w:uiPriority w:val="30"/>
    <w:qFormat/>
    <w:rsid w:val="00450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B7A"/>
    <w:rPr>
      <w:i/>
      <w:iCs/>
      <w:color w:val="0F4761" w:themeColor="accent1" w:themeShade="BF"/>
    </w:rPr>
  </w:style>
  <w:style w:type="character" w:styleId="IntenseReference">
    <w:name w:val="Intense Reference"/>
    <w:basedOn w:val="DefaultParagraphFont"/>
    <w:uiPriority w:val="32"/>
    <w:qFormat/>
    <w:rsid w:val="00450B7A"/>
    <w:rPr>
      <w:b/>
      <w:bCs/>
      <w:smallCaps/>
      <w:color w:val="0F4761" w:themeColor="accent1" w:themeShade="BF"/>
      <w:spacing w:val="5"/>
    </w:rPr>
  </w:style>
  <w:style w:type="paragraph" w:styleId="Header">
    <w:name w:val="header"/>
    <w:basedOn w:val="Normal"/>
    <w:link w:val="HeaderChar"/>
    <w:uiPriority w:val="99"/>
    <w:unhideWhenUsed/>
    <w:rsid w:val="00BE6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B4"/>
  </w:style>
  <w:style w:type="paragraph" w:styleId="Footer">
    <w:name w:val="footer"/>
    <w:basedOn w:val="Normal"/>
    <w:link w:val="FooterChar"/>
    <w:uiPriority w:val="99"/>
    <w:unhideWhenUsed/>
    <w:rsid w:val="00437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Melissa</dc:creator>
  <cp:keywords/>
  <dc:description/>
  <cp:lastModifiedBy>Stewart, Melissa</cp:lastModifiedBy>
  <cp:revision>6</cp:revision>
  <dcterms:created xsi:type="dcterms:W3CDTF">2025-03-07T15:56:00Z</dcterms:created>
  <dcterms:modified xsi:type="dcterms:W3CDTF">2025-03-27T13:01:00Z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3347761,4c1c051c,5dd4c4fd</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2025-03-07T16:52:26Z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c93a4801-a46c-46d3-8951-3c450892ef8f</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