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83238" w14:textId="77777777" w:rsidR="00FA20FD" w:rsidRDefault="00FA20FD" w:rsidP="00FA20FD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DOB:</w:t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>School:</w:t>
      </w:r>
    </w:p>
    <w:p w14:paraId="013B4C04" w14:textId="77777777" w:rsidR="00FA20FD" w:rsidRDefault="00FA20FD" w:rsidP="00FA20FD">
      <w:pPr>
        <w:pStyle w:val="Title"/>
        <w:jc w:val="left"/>
        <w:rPr>
          <w:rFonts w:ascii="Arial" w:hAnsi="Arial" w:cs="Arial"/>
        </w:rPr>
      </w:pPr>
    </w:p>
    <w:tbl>
      <w:tblPr>
        <w:tblW w:w="152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4299"/>
        <w:gridCol w:w="4199"/>
        <w:gridCol w:w="3693"/>
      </w:tblGrid>
      <w:tr w:rsidR="00FA20FD" w:rsidRPr="008B7646" w14:paraId="5C9C9B37" w14:textId="77777777" w:rsidTr="00E32B61">
        <w:trPr>
          <w:trHeight w:val="586"/>
        </w:trPr>
        <w:tc>
          <w:tcPr>
            <w:tcW w:w="3092" w:type="dxa"/>
            <w:shd w:val="clear" w:color="auto" w:fill="auto"/>
            <w:vAlign w:val="center"/>
          </w:tcPr>
          <w:p w14:paraId="5ADFD55F" w14:textId="77777777" w:rsidR="00FA20FD" w:rsidRPr="002B0CC3" w:rsidRDefault="00FA20FD" w:rsidP="00E32B6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CC3">
              <w:rPr>
                <w:rFonts w:ascii="Arial" w:hAnsi="Arial" w:cs="Arial"/>
                <w:b/>
              </w:rPr>
              <w:t>Needs relating to:</w:t>
            </w:r>
          </w:p>
        </w:tc>
        <w:tc>
          <w:tcPr>
            <w:tcW w:w="4299" w:type="dxa"/>
            <w:shd w:val="clear" w:color="auto" w:fill="DEEAF6"/>
          </w:tcPr>
          <w:p w14:paraId="580985E3" w14:textId="77777777" w:rsidR="00FA20FD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Stage 1 </w:t>
            </w:r>
          </w:p>
          <w:p w14:paraId="00623BBF" w14:textId="77777777" w:rsidR="00FA20FD" w:rsidRPr="00C659B8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59B8">
              <w:rPr>
                <w:rFonts w:ascii="Arial" w:hAnsi="Arial" w:cs="Arial"/>
                <w:b/>
                <w:sz w:val="18"/>
                <w:szCs w:val="18"/>
              </w:rPr>
              <w:t>Support is managed by the classroom teacher</w:t>
            </w:r>
          </w:p>
          <w:p w14:paraId="539ABF8A" w14:textId="77777777" w:rsidR="00FA20FD" w:rsidRPr="008B7646" w:rsidRDefault="00FA20FD" w:rsidP="00E32B6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99" w:type="dxa"/>
            <w:shd w:val="clear" w:color="auto" w:fill="BDD6EE"/>
          </w:tcPr>
          <w:p w14:paraId="72B2F0F7" w14:textId="77777777" w:rsidR="00FA20FD" w:rsidRPr="00D970FB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Stage 2  </w:t>
            </w:r>
          </w:p>
          <w:p w14:paraId="55D3282B" w14:textId="77777777" w:rsidR="00FA20FD" w:rsidRPr="008B7646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Single Agency </w:t>
            </w:r>
            <w:r w:rsidRPr="008B7646">
              <w:rPr>
                <w:rFonts w:ascii="Arial" w:hAnsi="Arial" w:cs="Arial"/>
                <w:b/>
                <w:sz w:val="18"/>
                <w:szCs w:val="18"/>
              </w:rPr>
              <w:t>Child’s Plan MUST be in place for a pupil at this level</w:t>
            </w:r>
          </w:p>
        </w:tc>
        <w:tc>
          <w:tcPr>
            <w:tcW w:w="3693" w:type="dxa"/>
            <w:shd w:val="clear" w:color="auto" w:fill="9CC2E5"/>
          </w:tcPr>
          <w:p w14:paraId="20B8DDF4" w14:textId="77777777" w:rsidR="00FA20FD" w:rsidRPr="00D970FB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Stage 3</w:t>
            </w:r>
            <w:r w:rsidRPr="00D970F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  <w:p w14:paraId="6F27956E" w14:textId="77777777" w:rsidR="00FA20FD" w:rsidRPr="008B7646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Multi agency </w:t>
            </w:r>
            <w:r w:rsidRPr="008B7646">
              <w:rPr>
                <w:rFonts w:ascii="Arial" w:hAnsi="Arial" w:cs="Arial"/>
                <w:b/>
                <w:sz w:val="18"/>
                <w:szCs w:val="18"/>
              </w:rPr>
              <w:t>Child’s Plan MUST be in place for a pupil at this level</w:t>
            </w:r>
          </w:p>
        </w:tc>
      </w:tr>
      <w:tr w:rsidR="00FA20FD" w:rsidRPr="00641E1D" w14:paraId="71C63801" w14:textId="77777777" w:rsidTr="00E32B61">
        <w:trPr>
          <w:trHeight w:hRule="exact" w:val="1243"/>
        </w:trPr>
        <w:tc>
          <w:tcPr>
            <w:tcW w:w="3092" w:type="dxa"/>
            <w:shd w:val="clear" w:color="auto" w:fill="FFFFFF"/>
            <w:vAlign w:val="center"/>
          </w:tcPr>
          <w:p w14:paraId="7EFB695D" w14:textId="77777777" w:rsidR="00FA20FD" w:rsidRPr="002B0CC3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B0CC3">
              <w:rPr>
                <w:rFonts w:ascii="Arial" w:hAnsi="Arial" w:cs="Arial"/>
                <w:b/>
              </w:rPr>
              <w:t>The physical environment</w:t>
            </w:r>
          </w:p>
        </w:tc>
        <w:tc>
          <w:tcPr>
            <w:tcW w:w="4299" w:type="dxa"/>
            <w:shd w:val="clear" w:color="auto" w:fill="DEEAF6"/>
          </w:tcPr>
          <w:p w14:paraId="0E061391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 xml:space="preserve">The education setting is appropriate, with reasonable adjustments </w:t>
            </w:r>
          </w:p>
          <w:p w14:paraId="1A29620B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 xml:space="preserve">Access to another area/workstation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may be </w:t>
            </w:r>
            <w:r w:rsidRPr="005E29DD">
              <w:rPr>
                <w:rFonts w:ascii="Arial" w:hAnsi="Arial" w:cs="Arial"/>
                <w:sz w:val="18"/>
                <w:szCs w:val="18"/>
              </w:rPr>
              <w:t>required</w:t>
            </w:r>
          </w:p>
        </w:tc>
        <w:tc>
          <w:tcPr>
            <w:tcW w:w="4199" w:type="dxa"/>
            <w:shd w:val="clear" w:color="auto" w:fill="BDD6EE"/>
          </w:tcPr>
          <w:p w14:paraId="40A2F499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 xml:space="preserve">A dedicated area within the classroom itself or another part of a mainstream setting is/might be required for a </w:t>
            </w:r>
            <w:r>
              <w:rPr>
                <w:rFonts w:ascii="Arial" w:hAnsi="Arial" w:cs="Arial"/>
                <w:sz w:val="18"/>
                <w:szCs w:val="18"/>
              </w:rPr>
              <w:t xml:space="preserve">significant </w:t>
            </w:r>
            <w:r w:rsidRPr="005E29DD">
              <w:rPr>
                <w:rFonts w:ascii="Arial" w:hAnsi="Arial" w:cs="Arial"/>
                <w:sz w:val="18"/>
                <w:szCs w:val="18"/>
              </w:rPr>
              <w:t>part of the pupil’s time in the educational setting</w:t>
            </w:r>
          </w:p>
          <w:p w14:paraId="468E58B0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  <w:shd w:val="clear" w:color="auto" w:fill="9CC2E5"/>
          </w:tcPr>
          <w:p w14:paraId="5DED403C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 xml:space="preserve">A highly specialised environment within a special provision or a mainstream educational setting is required </w:t>
            </w:r>
            <w:r>
              <w:rPr>
                <w:rFonts w:ascii="Arial" w:hAnsi="Arial" w:cs="Arial"/>
                <w:sz w:val="18"/>
                <w:szCs w:val="18"/>
              </w:rPr>
              <w:t>supported by OT, Physiotherapist, VI, HI or other agency</w:t>
            </w:r>
          </w:p>
        </w:tc>
      </w:tr>
      <w:tr w:rsidR="00FA20FD" w:rsidRPr="008B7646" w14:paraId="0F3EBC2F" w14:textId="77777777" w:rsidTr="00E32B61">
        <w:trPr>
          <w:trHeight w:hRule="exact" w:val="1243"/>
        </w:trPr>
        <w:tc>
          <w:tcPr>
            <w:tcW w:w="3092" w:type="dxa"/>
            <w:shd w:val="clear" w:color="auto" w:fill="FFFFFF"/>
            <w:vAlign w:val="center"/>
          </w:tcPr>
          <w:p w14:paraId="5C5F6204" w14:textId="77777777" w:rsidR="00FA20FD" w:rsidRPr="002B0CC3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B0CC3">
              <w:rPr>
                <w:rFonts w:ascii="Arial" w:hAnsi="Arial" w:cs="Arial"/>
                <w:b/>
              </w:rPr>
              <w:t>The curriculum and how it is delivered</w:t>
            </w:r>
          </w:p>
        </w:tc>
        <w:tc>
          <w:tcPr>
            <w:tcW w:w="4299" w:type="dxa"/>
            <w:shd w:val="clear" w:color="auto" w:fill="DEEAF6"/>
          </w:tcPr>
          <w:p w14:paraId="524023C5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>Mainstream curriculum with differentiation</w:t>
            </w:r>
          </w:p>
          <w:p w14:paraId="01A92120" w14:textId="77777777" w:rsidR="00FA20F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5E29DD">
              <w:rPr>
                <w:rFonts w:ascii="Arial" w:hAnsi="Arial" w:cs="Arial"/>
                <w:sz w:val="18"/>
                <w:szCs w:val="18"/>
              </w:rPr>
              <w:t>n consultation with support staff</w:t>
            </w:r>
          </w:p>
          <w:p w14:paraId="506872F5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 xml:space="preserve">SMART targets are used which are reviewed with parents </w:t>
            </w:r>
          </w:p>
        </w:tc>
        <w:tc>
          <w:tcPr>
            <w:tcW w:w="4199" w:type="dxa"/>
            <w:shd w:val="clear" w:color="auto" w:fill="BDD6EE"/>
          </w:tcPr>
          <w:p w14:paraId="520F12E5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5E29DD">
              <w:rPr>
                <w:rFonts w:ascii="Arial" w:hAnsi="Arial" w:cs="Arial"/>
                <w:sz w:val="18"/>
                <w:szCs w:val="18"/>
              </w:rPr>
              <w:t xml:space="preserve">ndividualised planning is needed in a wide area of the mainstream curriculum requiring regular review and consultation with parents </w:t>
            </w:r>
            <w:r>
              <w:rPr>
                <w:rFonts w:ascii="Arial" w:hAnsi="Arial" w:cs="Arial"/>
                <w:sz w:val="18"/>
                <w:szCs w:val="18"/>
              </w:rPr>
              <w:t>and wider education specialists (HI, VI, ESO, Educational Psychologist)</w:t>
            </w:r>
          </w:p>
        </w:tc>
        <w:tc>
          <w:tcPr>
            <w:tcW w:w="3693" w:type="dxa"/>
            <w:shd w:val="clear" w:color="auto" w:fill="9CC2E5"/>
          </w:tcPr>
          <w:p w14:paraId="2754C418" w14:textId="77777777" w:rsidR="00FA20F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 xml:space="preserve">The pupil follows an alternative </w:t>
            </w:r>
            <w:r>
              <w:rPr>
                <w:rFonts w:ascii="Arial" w:hAnsi="Arial" w:cs="Arial"/>
                <w:sz w:val="18"/>
                <w:szCs w:val="18"/>
              </w:rPr>
              <w:t>curri</w:t>
            </w:r>
            <w:r w:rsidRPr="005E29DD">
              <w:rPr>
                <w:rFonts w:ascii="Arial" w:hAnsi="Arial" w:cs="Arial"/>
                <w:sz w:val="18"/>
                <w:szCs w:val="18"/>
              </w:rPr>
              <w:t>culum from that provided in a mainstream setting</w:t>
            </w:r>
            <w:r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Pr="005C4016">
              <w:rPr>
                <w:rFonts w:ascii="Arial" w:hAnsi="Arial" w:cs="Arial"/>
                <w:sz w:val="18"/>
                <w:szCs w:val="18"/>
              </w:rPr>
              <w:t xml:space="preserve">upport by outside and specialist agencies/services </w:t>
            </w:r>
            <w:r>
              <w:rPr>
                <w:rFonts w:ascii="Arial" w:hAnsi="Arial" w:cs="Arial"/>
                <w:sz w:val="18"/>
                <w:szCs w:val="18"/>
              </w:rPr>
              <w:t>(SLT, PT, Physiotherapist, Nurse, Paediatrician, Social Work, Young Carers)</w:t>
            </w:r>
          </w:p>
          <w:p w14:paraId="79F38B95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0FD" w:rsidRPr="008B7646" w14:paraId="2E51140F" w14:textId="77777777" w:rsidTr="00E32B61">
        <w:trPr>
          <w:trHeight w:hRule="exact" w:val="1243"/>
        </w:trPr>
        <w:tc>
          <w:tcPr>
            <w:tcW w:w="3092" w:type="dxa"/>
            <w:shd w:val="clear" w:color="auto" w:fill="FFFFFF"/>
            <w:vAlign w:val="center"/>
          </w:tcPr>
          <w:p w14:paraId="74C5FDA9" w14:textId="77777777" w:rsidR="00FA20FD" w:rsidRPr="002B0CC3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B0CC3">
              <w:rPr>
                <w:rFonts w:ascii="Arial" w:hAnsi="Arial" w:cs="Arial"/>
                <w:b/>
              </w:rPr>
              <w:t>The level of adult support required</w:t>
            </w:r>
          </w:p>
        </w:tc>
        <w:tc>
          <w:tcPr>
            <w:tcW w:w="4299" w:type="dxa"/>
            <w:shd w:val="clear" w:color="auto" w:fill="DEEAF6"/>
          </w:tcPr>
          <w:p w14:paraId="6AA12B23" w14:textId="77777777" w:rsidR="00FA20F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>Class Teacher or Early Years Practitioner</w:t>
            </w:r>
          </w:p>
          <w:p w14:paraId="4400C989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407538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>Needs which require to be addressed through access to individual and/or small group support</w:t>
            </w:r>
          </w:p>
        </w:tc>
        <w:tc>
          <w:tcPr>
            <w:tcW w:w="4199" w:type="dxa"/>
            <w:shd w:val="clear" w:color="auto" w:fill="BDD6EE"/>
          </w:tcPr>
          <w:p w14:paraId="5CDDC720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>Access to adult support to implement agreed actions, as recorded in the child’s plan. Specialist training for staff may be required.</w:t>
            </w:r>
            <w:r>
              <w:rPr>
                <w:rFonts w:ascii="Arial" w:hAnsi="Arial" w:cs="Arial"/>
                <w:sz w:val="18"/>
                <w:szCs w:val="18"/>
              </w:rPr>
              <w:t xml:space="preserve"> Observations and assessments may be required by education specialists (HI, VI, ESO, Educational Psychologist)</w:t>
            </w:r>
          </w:p>
        </w:tc>
        <w:tc>
          <w:tcPr>
            <w:tcW w:w="3693" w:type="dxa"/>
            <w:shd w:val="clear" w:color="auto" w:fill="9CC2E5"/>
          </w:tcPr>
          <w:p w14:paraId="432CF21D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>Pupil requires access to support from a teacher and/or pupil support assistant Specialist training for staff may be required.</w:t>
            </w:r>
            <w:r>
              <w:rPr>
                <w:rFonts w:ascii="Arial" w:hAnsi="Arial" w:cs="Arial"/>
                <w:sz w:val="18"/>
                <w:szCs w:val="18"/>
              </w:rPr>
              <w:t xml:space="preserve"> Observations and assessments required by multi-agency specialists </w:t>
            </w:r>
          </w:p>
        </w:tc>
      </w:tr>
      <w:tr w:rsidR="00FA20FD" w:rsidRPr="008B7646" w14:paraId="7F461CF4" w14:textId="77777777" w:rsidTr="00E32B61">
        <w:trPr>
          <w:trHeight w:hRule="exact" w:val="1243"/>
        </w:trPr>
        <w:tc>
          <w:tcPr>
            <w:tcW w:w="3092" w:type="dxa"/>
            <w:shd w:val="clear" w:color="auto" w:fill="FFFFFF"/>
            <w:vAlign w:val="center"/>
          </w:tcPr>
          <w:p w14:paraId="777B4EE6" w14:textId="77777777" w:rsidR="00FA20FD" w:rsidRPr="002B0CC3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B0CC3">
              <w:rPr>
                <w:rFonts w:ascii="Arial" w:hAnsi="Arial" w:cs="Arial"/>
                <w:b/>
              </w:rPr>
              <w:t>The level of resources and strategies</w:t>
            </w:r>
          </w:p>
        </w:tc>
        <w:tc>
          <w:tcPr>
            <w:tcW w:w="4299" w:type="dxa"/>
            <w:shd w:val="clear" w:color="auto" w:fill="DEEAF6"/>
          </w:tcPr>
          <w:p w14:paraId="508ECA62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 xml:space="preserve">Ordinarily available resources and strategies. </w:t>
            </w:r>
          </w:p>
          <w:p w14:paraId="10F7031F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>Special resources or strategies, required by the pu</w:t>
            </w:r>
            <w:r>
              <w:rPr>
                <w:rFonts w:ascii="Arial" w:hAnsi="Arial" w:cs="Arial"/>
                <w:sz w:val="18"/>
                <w:szCs w:val="18"/>
              </w:rPr>
              <w:t>pil individually</w:t>
            </w:r>
          </w:p>
        </w:tc>
        <w:tc>
          <w:tcPr>
            <w:tcW w:w="4199" w:type="dxa"/>
            <w:shd w:val="clear" w:color="auto" w:fill="BDD6EE"/>
          </w:tcPr>
          <w:p w14:paraId="6F3F76DA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Specialised </w:t>
            </w:r>
            <w:r w:rsidRPr="005E29DD">
              <w:rPr>
                <w:rFonts w:ascii="Arial" w:hAnsi="Arial" w:cs="Arial"/>
                <w:sz w:val="18"/>
                <w:szCs w:val="18"/>
              </w:rPr>
              <w:t>resources, technology or strategies to support learning, their</w:t>
            </w:r>
            <w:r>
              <w:rPr>
                <w:rFonts w:ascii="Arial" w:hAnsi="Arial" w:cs="Arial"/>
                <w:sz w:val="18"/>
                <w:szCs w:val="18"/>
              </w:rPr>
              <w:t xml:space="preserve"> emotional wellbeing, health supported by educational specialists (HI, VI, ESO, Educational Psychologist)</w:t>
            </w:r>
          </w:p>
        </w:tc>
        <w:tc>
          <w:tcPr>
            <w:tcW w:w="3693" w:type="dxa"/>
            <w:shd w:val="clear" w:color="auto" w:fill="9CC2E5"/>
          </w:tcPr>
          <w:p w14:paraId="70BF8B0B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 xml:space="preserve">Access to highly specialised resources, facilities, technology </w:t>
            </w:r>
            <w:r>
              <w:rPr>
                <w:rFonts w:ascii="Arial" w:hAnsi="Arial" w:cs="Arial"/>
                <w:sz w:val="18"/>
                <w:szCs w:val="18"/>
              </w:rPr>
              <w:t>supported by multi-agency specialists</w:t>
            </w:r>
          </w:p>
        </w:tc>
      </w:tr>
      <w:tr w:rsidR="00FA20FD" w:rsidRPr="008B7646" w14:paraId="1528695B" w14:textId="77777777" w:rsidTr="00E32B61">
        <w:trPr>
          <w:trHeight w:hRule="exact" w:val="1243"/>
        </w:trPr>
        <w:tc>
          <w:tcPr>
            <w:tcW w:w="3092" w:type="dxa"/>
            <w:shd w:val="clear" w:color="auto" w:fill="FFFFFF"/>
            <w:vAlign w:val="center"/>
          </w:tcPr>
          <w:p w14:paraId="3FD1B580" w14:textId="77777777" w:rsidR="00FA20FD" w:rsidRPr="002B0CC3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B0CC3">
              <w:rPr>
                <w:rFonts w:ascii="Arial" w:hAnsi="Arial" w:cs="Arial"/>
                <w:b/>
              </w:rPr>
              <w:t>Support agencies / services involvement</w:t>
            </w:r>
          </w:p>
        </w:tc>
        <w:tc>
          <w:tcPr>
            <w:tcW w:w="4299" w:type="dxa"/>
            <w:shd w:val="clear" w:color="auto" w:fill="DEEAF6"/>
          </w:tcPr>
          <w:p w14:paraId="6B2CC8E3" w14:textId="77777777" w:rsidR="00FA20F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>Needs identified and monitored by the Class Teacher or Early Years Practitioner</w:t>
            </w:r>
          </w:p>
          <w:p w14:paraId="3023A10E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E661D6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 xml:space="preserve">Programmes delivered by staff in the education setting </w:t>
            </w:r>
          </w:p>
          <w:p w14:paraId="5E444115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9" w:type="dxa"/>
            <w:shd w:val="clear" w:color="auto" w:fill="BDD6EE"/>
          </w:tcPr>
          <w:p w14:paraId="7B81A382" w14:textId="77777777" w:rsidR="00FA20FD" w:rsidRPr="005C4016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4016">
              <w:rPr>
                <w:rFonts w:ascii="Arial" w:hAnsi="Arial" w:cs="Arial"/>
                <w:sz w:val="18"/>
                <w:szCs w:val="18"/>
              </w:rPr>
              <w:t>Liaison with</w:t>
            </w:r>
            <w:r>
              <w:rPr>
                <w:rFonts w:ascii="Arial" w:hAnsi="Arial" w:cs="Arial"/>
                <w:sz w:val="18"/>
                <w:szCs w:val="18"/>
              </w:rPr>
              <w:t xml:space="preserve"> education specialists (HI, VI, ESO, and Educational Psychologist)</w:t>
            </w:r>
            <w:r w:rsidRPr="005C4016">
              <w:rPr>
                <w:rFonts w:ascii="Arial" w:hAnsi="Arial" w:cs="Arial"/>
                <w:sz w:val="18"/>
                <w:szCs w:val="18"/>
              </w:rPr>
              <w:t xml:space="preserve"> required to develop health and well-being or implement and monitor learning outcomes in school.</w:t>
            </w:r>
          </w:p>
          <w:p w14:paraId="376AAD1C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  <w:shd w:val="clear" w:color="auto" w:fill="9CC2E5"/>
          </w:tcPr>
          <w:p w14:paraId="127FE0D1" w14:textId="77777777" w:rsidR="00FA20F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C4016">
              <w:rPr>
                <w:rFonts w:ascii="Arial" w:hAnsi="Arial" w:cs="Arial"/>
                <w:sz w:val="18"/>
                <w:szCs w:val="18"/>
              </w:rPr>
              <w:t xml:space="preserve">upport by outside and specialist agencies/services </w:t>
            </w:r>
            <w:r>
              <w:rPr>
                <w:rFonts w:ascii="Arial" w:hAnsi="Arial" w:cs="Arial"/>
                <w:sz w:val="18"/>
                <w:szCs w:val="18"/>
              </w:rPr>
              <w:t>(SLT, PT, Physiotherapist, Nurse, Paediatrician, Social Work, Young Carers)</w:t>
            </w:r>
          </w:p>
          <w:p w14:paraId="4EE07D01" w14:textId="77777777" w:rsidR="00FA20FD" w:rsidRPr="005C4016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Consultation </w:t>
            </w:r>
            <w:r w:rsidRPr="005C4016">
              <w:rPr>
                <w:rFonts w:ascii="Arial" w:hAnsi="Arial" w:cs="Arial"/>
                <w:sz w:val="18"/>
                <w:szCs w:val="18"/>
              </w:rPr>
              <w:t>with parents and professionals required</w:t>
            </w:r>
          </w:p>
        </w:tc>
      </w:tr>
      <w:tr w:rsidR="00FA20FD" w:rsidRPr="00562774" w14:paraId="011D9E6A" w14:textId="77777777" w:rsidTr="00E32B61">
        <w:trPr>
          <w:trHeight w:hRule="exact" w:val="1243"/>
        </w:trPr>
        <w:tc>
          <w:tcPr>
            <w:tcW w:w="3092" w:type="dxa"/>
            <w:shd w:val="clear" w:color="auto" w:fill="FFFFFF"/>
            <w:vAlign w:val="center"/>
          </w:tcPr>
          <w:p w14:paraId="4A5E814E" w14:textId="77777777" w:rsidR="00FA20FD" w:rsidRPr="002B0CC3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B0CC3">
              <w:rPr>
                <w:rFonts w:ascii="Arial" w:hAnsi="Arial" w:cs="Arial"/>
                <w:b/>
              </w:rPr>
              <w:t>Communication</w:t>
            </w:r>
          </w:p>
        </w:tc>
        <w:tc>
          <w:tcPr>
            <w:tcW w:w="4299" w:type="dxa"/>
            <w:shd w:val="clear" w:color="auto" w:fill="DEEAF6"/>
          </w:tcPr>
          <w:p w14:paraId="26935E7C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5E29DD">
              <w:rPr>
                <w:rFonts w:ascii="Arial" w:hAnsi="Arial" w:cs="Arial"/>
                <w:sz w:val="18"/>
                <w:szCs w:val="18"/>
              </w:rPr>
              <w:t xml:space="preserve">anguage and visual support as part of ordinary and written communication </w:t>
            </w:r>
          </w:p>
          <w:p w14:paraId="7E9C8A05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>Communication and language needs met by consistent use specific approaches</w:t>
            </w:r>
          </w:p>
        </w:tc>
        <w:tc>
          <w:tcPr>
            <w:tcW w:w="4199" w:type="dxa"/>
            <w:shd w:val="clear" w:color="auto" w:fill="BDD6EE"/>
          </w:tcPr>
          <w:p w14:paraId="5667CCE3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9DD">
              <w:rPr>
                <w:rFonts w:ascii="Arial" w:hAnsi="Arial" w:cs="Arial"/>
                <w:sz w:val="18"/>
                <w:szCs w:val="18"/>
              </w:rPr>
              <w:t xml:space="preserve">Enhanced support to aid communication and social inclusion </w:t>
            </w:r>
          </w:p>
        </w:tc>
        <w:tc>
          <w:tcPr>
            <w:tcW w:w="3693" w:type="dxa"/>
            <w:shd w:val="clear" w:color="auto" w:fill="9CC2E5"/>
          </w:tcPr>
          <w:p w14:paraId="672C1008" w14:textId="77777777" w:rsidR="00FA20FD" w:rsidRPr="005E29DD" w:rsidRDefault="00FA20FD" w:rsidP="00E32B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E29DD">
              <w:rPr>
                <w:rFonts w:ascii="Arial" w:hAnsi="Arial" w:cs="Arial"/>
                <w:sz w:val="18"/>
                <w:szCs w:val="18"/>
              </w:rPr>
              <w:t xml:space="preserve">pecialised communication methods required </w:t>
            </w:r>
            <w:r>
              <w:rPr>
                <w:rFonts w:ascii="Arial" w:hAnsi="Arial" w:cs="Arial"/>
                <w:sz w:val="18"/>
                <w:szCs w:val="18"/>
              </w:rPr>
              <w:t>(CALL Scotland, SLT)</w:t>
            </w:r>
          </w:p>
          <w:p w14:paraId="206FEE81" w14:textId="77777777" w:rsidR="00FA20FD" w:rsidRPr="005E29DD" w:rsidRDefault="00FA20FD" w:rsidP="00E32B61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52E9EC" w14:textId="77777777" w:rsidR="00FA20FD" w:rsidRDefault="00FA20FD" w:rsidP="00FA20FD">
      <w:pPr>
        <w:pStyle w:val="Title"/>
        <w:jc w:val="left"/>
        <w:rPr>
          <w:rFonts w:ascii="Arial" w:hAnsi="Arial" w:cs="Arial"/>
        </w:rPr>
      </w:pPr>
    </w:p>
    <w:p w14:paraId="4FE50363" w14:textId="77777777" w:rsidR="00FA20FD" w:rsidRDefault="00FA20FD" w:rsidP="00FA20FD">
      <w:pPr>
        <w:spacing w:after="120"/>
        <w:jc w:val="both"/>
        <w:rPr>
          <w:rFonts w:ascii="Arial" w:hAnsi="Arial" w:cs="Arial"/>
        </w:rPr>
      </w:pPr>
    </w:p>
    <w:p w14:paraId="1FBFCD8D" w14:textId="77777777" w:rsidR="00FA20FD" w:rsidRDefault="00FA20FD" w:rsidP="00FA20FD">
      <w:pPr>
        <w:spacing w:after="120"/>
        <w:jc w:val="both"/>
        <w:rPr>
          <w:rFonts w:ascii="Arial" w:hAnsi="Arial" w:cs="Arial"/>
        </w:rPr>
      </w:pPr>
    </w:p>
    <w:p w14:paraId="1C3D52DF" w14:textId="77777777" w:rsidR="00FA20FD" w:rsidRDefault="00FA20FD" w:rsidP="00FA20FD">
      <w:pPr>
        <w:spacing w:after="120"/>
        <w:jc w:val="both"/>
        <w:rPr>
          <w:rFonts w:ascii="Arial" w:hAnsi="Arial" w:cs="Arial"/>
        </w:rPr>
      </w:pPr>
    </w:p>
    <w:p w14:paraId="77A0F4C6" w14:textId="77777777" w:rsidR="00FA20FD" w:rsidRPr="00232352" w:rsidRDefault="00FA20FD" w:rsidP="00FA20FD">
      <w:pPr>
        <w:spacing w:after="12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232352">
        <w:rPr>
          <w:rFonts w:ascii="Arial" w:hAnsi="Arial" w:cs="Arial"/>
          <w:b/>
          <w:color w:val="002060"/>
          <w:sz w:val="24"/>
          <w:szCs w:val="24"/>
        </w:rPr>
        <w:lastRenderedPageBreak/>
        <w:t>Examples of how support might be provided to achieve outcomes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4394"/>
        <w:gridCol w:w="4111"/>
        <w:gridCol w:w="3883"/>
      </w:tblGrid>
      <w:tr w:rsidR="00FA20FD" w:rsidRPr="008B7646" w14:paraId="691DD86A" w14:textId="77777777" w:rsidTr="00E32B61">
        <w:tc>
          <w:tcPr>
            <w:tcW w:w="3092" w:type="dxa"/>
            <w:shd w:val="clear" w:color="auto" w:fill="auto"/>
            <w:vAlign w:val="center"/>
          </w:tcPr>
          <w:p w14:paraId="74DB3FDF" w14:textId="77777777" w:rsidR="00FA20FD" w:rsidRPr="005922B9" w:rsidRDefault="00FA20FD" w:rsidP="00E32B6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922B9">
              <w:rPr>
                <w:rFonts w:ascii="Arial" w:hAnsi="Arial" w:cs="Arial"/>
                <w:b/>
              </w:rPr>
              <w:t>Needs relating to:</w:t>
            </w:r>
          </w:p>
        </w:tc>
        <w:tc>
          <w:tcPr>
            <w:tcW w:w="4394" w:type="dxa"/>
            <w:shd w:val="clear" w:color="auto" w:fill="DEEAF6"/>
          </w:tcPr>
          <w:p w14:paraId="1A2E363D" w14:textId="77777777" w:rsidR="00FA20FD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Stage 1 </w:t>
            </w:r>
          </w:p>
          <w:p w14:paraId="79E38F1C" w14:textId="77777777" w:rsidR="00FA20FD" w:rsidRPr="00C659B8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59B8">
              <w:rPr>
                <w:rFonts w:ascii="Arial" w:hAnsi="Arial" w:cs="Arial"/>
                <w:b/>
                <w:sz w:val="18"/>
                <w:szCs w:val="18"/>
              </w:rPr>
              <w:t>Support is managed by the classroom teacher</w:t>
            </w:r>
          </w:p>
          <w:p w14:paraId="29F613EB" w14:textId="77777777" w:rsidR="00FA20FD" w:rsidRPr="008B7646" w:rsidRDefault="00FA20FD" w:rsidP="00E32B6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BDD6EE"/>
          </w:tcPr>
          <w:p w14:paraId="6066E3D4" w14:textId="77777777" w:rsidR="00FA20FD" w:rsidRPr="00D970FB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Stage 2  </w:t>
            </w:r>
          </w:p>
          <w:p w14:paraId="663F2477" w14:textId="77777777" w:rsidR="00FA20FD" w:rsidRPr="008B7646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Single Agency </w:t>
            </w:r>
            <w:r w:rsidRPr="008B7646">
              <w:rPr>
                <w:rFonts w:ascii="Arial" w:hAnsi="Arial" w:cs="Arial"/>
                <w:b/>
                <w:sz w:val="18"/>
                <w:szCs w:val="18"/>
              </w:rPr>
              <w:t>Child’s Plan MUST be in place for a pupil at this level</w:t>
            </w:r>
          </w:p>
        </w:tc>
        <w:tc>
          <w:tcPr>
            <w:tcW w:w="3883" w:type="dxa"/>
            <w:shd w:val="clear" w:color="auto" w:fill="9CC2E5"/>
          </w:tcPr>
          <w:p w14:paraId="1F66CB04" w14:textId="77777777" w:rsidR="00FA20FD" w:rsidRPr="00D970FB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Stage 3</w:t>
            </w:r>
            <w:r w:rsidRPr="00D970F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  <w:p w14:paraId="45870D81" w14:textId="77777777" w:rsidR="00FA20FD" w:rsidRPr="008B7646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Multi agency </w:t>
            </w:r>
            <w:r w:rsidRPr="008B7646">
              <w:rPr>
                <w:rFonts w:ascii="Arial" w:hAnsi="Arial" w:cs="Arial"/>
                <w:b/>
                <w:sz w:val="18"/>
                <w:szCs w:val="18"/>
              </w:rPr>
              <w:t>Child’s Plan MUST be in place for a pupil at this level</w:t>
            </w:r>
          </w:p>
        </w:tc>
      </w:tr>
      <w:tr w:rsidR="00FA20FD" w:rsidRPr="0022204D" w14:paraId="254E7374" w14:textId="77777777" w:rsidTr="00E32B61">
        <w:trPr>
          <w:trHeight w:hRule="exact" w:val="1396"/>
        </w:trPr>
        <w:tc>
          <w:tcPr>
            <w:tcW w:w="3092" w:type="dxa"/>
            <w:shd w:val="clear" w:color="auto" w:fill="FFFFFF"/>
            <w:vAlign w:val="center"/>
          </w:tcPr>
          <w:p w14:paraId="39045072" w14:textId="77777777" w:rsidR="00FA20FD" w:rsidRPr="005922B9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22B9">
              <w:rPr>
                <w:rFonts w:ascii="Arial" w:hAnsi="Arial" w:cs="Arial"/>
                <w:b/>
              </w:rPr>
              <w:t>The physical environment</w:t>
            </w:r>
          </w:p>
        </w:tc>
        <w:tc>
          <w:tcPr>
            <w:tcW w:w="4394" w:type="dxa"/>
            <w:shd w:val="clear" w:color="auto" w:fill="DEEAF6"/>
          </w:tcPr>
          <w:p w14:paraId="758EFB81" w14:textId="77777777" w:rsidR="00FA20FD" w:rsidRPr="001E7DE1" w:rsidRDefault="00FA20FD" w:rsidP="00FA20FD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Work station</w:t>
            </w:r>
          </w:p>
          <w:p w14:paraId="095378C1" w14:textId="77777777" w:rsidR="00FA20FD" w:rsidRPr="001E7DE1" w:rsidRDefault="00FA20FD" w:rsidP="00FA20FD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Alternative seating</w:t>
            </w:r>
          </w:p>
          <w:p w14:paraId="624C4560" w14:textId="77777777" w:rsidR="00FA20FD" w:rsidRPr="001E7DE1" w:rsidRDefault="00FA20FD" w:rsidP="00FA20FD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Sloping writing board</w:t>
            </w:r>
          </w:p>
          <w:p w14:paraId="230E55BC" w14:textId="77777777" w:rsidR="00FA20FD" w:rsidRPr="001E7DE1" w:rsidRDefault="00FA20FD" w:rsidP="00FA20FD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Desk in quieter area of classroom</w:t>
            </w:r>
          </w:p>
          <w:p w14:paraId="77FBC950" w14:textId="77777777" w:rsidR="00FA20FD" w:rsidRPr="001E7DE1" w:rsidRDefault="00FA20FD" w:rsidP="00FA20FD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Selection of work partner</w:t>
            </w:r>
          </w:p>
          <w:p w14:paraId="1166EEDD" w14:textId="77777777" w:rsidR="00FA20FD" w:rsidRPr="001E7DE1" w:rsidRDefault="00FA20FD" w:rsidP="00FA20F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 xml:space="preserve">a deaf pupil requiring a low noise environment </w:t>
            </w:r>
          </w:p>
          <w:p w14:paraId="34E63DDF" w14:textId="77777777" w:rsidR="00FA20FD" w:rsidRPr="001E7DE1" w:rsidRDefault="00FA20FD" w:rsidP="00FA20F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area for a pupil to engage in outside agency programme</w:t>
            </w:r>
          </w:p>
        </w:tc>
        <w:tc>
          <w:tcPr>
            <w:tcW w:w="4111" w:type="dxa"/>
            <w:shd w:val="clear" w:color="auto" w:fill="BDD6EE"/>
          </w:tcPr>
          <w:p w14:paraId="7FE06694" w14:textId="77777777" w:rsidR="00FA20FD" w:rsidRPr="001E7DE1" w:rsidRDefault="00FA20FD" w:rsidP="00E32B6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Substantial time in an:</w:t>
            </w:r>
          </w:p>
          <w:p w14:paraId="5ECC4269" w14:textId="77777777" w:rsidR="00FA20FD" w:rsidRPr="001E7DE1" w:rsidRDefault="00FA20FD" w:rsidP="00FA20F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ASD friendly environment</w:t>
            </w:r>
          </w:p>
          <w:p w14:paraId="5D1C9FB8" w14:textId="77777777" w:rsidR="00FA20FD" w:rsidRPr="001E7DE1" w:rsidRDefault="00FA20FD" w:rsidP="00FA20F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Nurture Room</w:t>
            </w:r>
          </w:p>
          <w:p w14:paraId="2E282D10" w14:textId="77777777" w:rsidR="00FA20FD" w:rsidRPr="001E7DE1" w:rsidRDefault="00FA20FD" w:rsidP="00FA20F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Time out space</w:t>
            </w:r>
          </w:p>
          <w:p w14:paraId="565582C5" w14:textId="77777777" w:rsidR="00FA20FD" w:rsidRPr="001E7DE1" w:rsidRDefault="00FA20FD" w:rsidP="00FA20F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ASN Base</w:t>
            </w:r>
          </w:p>
          <w:p w14:paraId="2986B61B" w14:textId="77777777" w:rsidR="00FA20FD" w:rsidRPr="001E7DE1" w:rsidRDefault="00FA20FD" w:rsidP="00FA20F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Access to the outdoors</w:t>
            </w:r>
          </w:p>
          <w:p w14:paraId="3004EAEC" w14:textId="77777777" w:rsidR="00FA20FD" w:rsidRPr="001E7DE1" w:rsidRDefault="00FA20FD" w:rsidP="00E32B61">
            <w:pPr>
              <w:spacing w:after="0" w:line="24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3" w:type="dxa"/>
            <w:shd w:val="clear" w:color="auto" w:fill="9CC2E5"/>
          </w:tcPr>
          <w:p w14:paraId="47B533A7" w14:textId="77777777" w:rsidR="00FA20FD" w:rsidRPr="001E7DE1" w:rsidRDefault="00FA20FD" w:rsidP="00FA20FD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Low stimulus environment</w:t>
            </w:r>
          </w:p>
          <w:p w14:paraId="0D8B784B" w14:textId="77777777" w:rsidR="00FA20FD" w:rsidRPr="001E7DE1" w:rsidRDefault="00FA20FD" w:rsidP="00FA20FD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Highly protected and individualised space to meet complex needs</w:t>
            </w:r>
          </w:p>
          <w:p w14:paraId="3A929AEE" w14:textId="77777777" w:rsidR="00FA20FD" w:rsidRPr="001E7DE1" w:rsidRDefault="00FA20FD" w:rsidP="00E32B61">
            <w:pPr>
              <w:spacing w:after="0" w:line="24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0FD" w:rsidRPr="0022204D" w14:paraId="32C8F50D" w14:textId="77777777" w:rsidTr="00E32B61">
        <w:trPr>
          <w:trHeight w:hRule="exact" w:val="1700"/>
        </w:trPr>
        <w:tc>
          <w:tcPr>
            <w:tcW w:w="3092" w:type="dxa"/>
            <w:shd w:val="clear" w:color="auto" w:fill="FFFFFF"/>
            <w:vAlign w:val="center"/>
          </w:tcPr>
          <w:p w14:paraId="4DAFFE8F" w14:textId="77777777" w:rsidR="00FA20FD" w:rsidRPr="005922B9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22B9">
              <w:rPr>
                <w:rFonts w:ascii="Arial" w:hAnsi="Arial" w:cs="Arial"/>
                <w:b/>
              </w:rPr>
              <w:t>The curriculum and how it is delivered</w:t>
            </w:r>
          </w:p>
        </w:tc>
        <w:tc>
          <w:tcPr>
            <w:tcW w:w="4394" w:type="dxa"/>
            <w:shd w:val="clear" w:color="auto" w:fill="DEEAF6"/>
          </w:tcPr>
          <w:p w14:paraId="73C5907C" w14:textId="77777777" w:rsidR="00FA20FD" w:rsidRPr="001E7DE1" w:rsidRDefault="00FA20FD" w:rsidP="00FA20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alternative outcomes</w:t>
            </w:r>
          </w:p>
          <w:p w14:paraId="7D44CB65" w14:textId="77777777" w:rsidR="00FA20FD" w:rsidRPr="001E7DE1" w:rsidRDefault="00FA20FD" w:rsidP="00FA20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additional time</w:t>
            </w:r>
          </w:p>
          <w:p w14:paraId="533BE6B0" w14:textId="77777777" w:rsidR="00FA20FD" w:rsidRPr="001E7DE1" w:rsidRDefault="00FA20FD" w:rsidP="00FA20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responding to preferred learning styles</w:t>
            </w:r>
          </w:p>
          <w:p w14:paraId="3C0DD7A9" w14:textId="77777777" w:rsidR="00FA20FD" w:rsidRPr="001E7DE1" w:rsidRDefault="00FA20FD" w:rsidP="00FA20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Structured programme for learning and/or behaviour</w:t>
            </w:r>
          </w:p>
          <w:p w14:paraId="7A17538B" w14:textId="77777777" w:rsidR="00FA20FD" w:rsidRPr="001E7DE1" w:rsidRDefault="00FA20FD" w:rsidP="00FA20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independence/social/life skills</w:t>
            </w:r>
          </w:p>
          <w:p w14:paraId="6BED03F0" w14:textId="77777777" w:rsidR="00FA20FD" w:rsidRPr="001E7DE1" w:rsidRDefault="00FA20FD" w:rsidP="00FA20FD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7DE1">
              <w:rPr>
                <w:rFonts w:ascii="Arial" w:hAnsi="Arial" w:cs="Arial"/>
                <w:color w:val="000000"/>
                <w:sz w:val="16"/>
                <w:szCs w:val="16"/>
              </w:rPr>
              <w:t>adjust the amount of work expected (Stage 1)</w:t>
            </w:r>
          </w:p>
          <w:p w14:paraId="7EBD058B" w14:textId="77777777" w:rsidR="00FA20FD" w:rsidRPr="001E7DE1" w:rsidRDefault="00FA20FD" w:rsidP="00FA20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physical/sensory issues</w:t>
            </w:r>
          </w:p>
        </w:tc>
        <w:tc>
          <w:tcPr>
            <w:tcW w:w="4111" w:type="dxa"/>
            <w:shd w:val="clear" w:color="auto" w:fill="BDD6EE"/>
          </w:tcPr>
          <w:p w14:paraId="348AB356" w14:textId="77777777" w:rsidR="00FA20FD" w:rsidRPr="001E7DE1" w:rsidRDefault="00FA20FD" w:rsidP="00E32B6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 xml:space="preserve">Discussion, joint planning  for educational outcomes by </w:t>
            </w:r>
          </w:p>
          <w:p w14:paraId="480EBE3D" w14:textId="77777777" w:rsidR="00FA20FD" w:rsidRPr="001E7DE1" w:rsidRDefault="00FA20FD" w:rsidP="00FA20F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teachers</w:t>
            </w:r>
          </w:p>
          <w:p w14:paraId="78A4F563" w14:textId="77777777" w:rsidR="00FA20FD" w:rsidRPr="001E7DE1" w:rsidRDefault="00FA20FD" w:rsidP="00FA20F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family</w:t>
            </w:r>
          </w:p>
          <w:p w14:paraId="6B66BEE3" w14:textId="77777777" w:rsidR="00FA20FD" w:rsidRPr="001E7DE1" w:rsidRDefault="00FA20FD" w:rsidP="00FA20F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educational specialists (HI, VI, ESO, Educational Psychologist)</w:t>
            </w:r>
          </w:p>
          <w:p w14:paraId="5FB60845" w14:textId="77777777" w:rsidR="00FA20FD" w:rsidRPr="001E7DE1" w:rsidRDefault="00FA20FD" w:rsidP="00FA20FD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color w:val="000000"/>
                <w:sz w:val="16"/>
                <w:szCs w:val="16"/>
              </w:rPr>
              <w:t>introduce an individual programme of work (Stage 2)</w:t>
            </w:r>
          </w:p>
          <w:p w14:paraId="65681801" w14:textId="77777777" w:rsidR="00FA20FD" w:rsidRPr="001E7DE1" w:rsidRDefault="00FA20FD" w:rsidP="00E32B61">
            <w:pPr>
              <w:spacing w:after="0" w:line="24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3" w:type="dxa"/>
            <w:shd w:val="clear" w:color="auto" w:fill="9CC2E5"/>
          </w:tcPr>
          <w:p w14:paraId="656DCF81" w14:textId="77777777" w:rsidR="00FA20FD" w:rsidRPr="001E7DE1" w:rsidRDefault="00FA20FD" w:rsidP="00FA20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 xml:space="preserve">daily living skills </w:t>
            </w:r>
          </w:p>
          <w:p w14:paraId="40BE6C58" w14:textId="77777777" w:rsidR="00FA20FD" w:rsidRPr="001E7DE1" w:rsidRDefault="00FA20FD" w:rsidP="00FA20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 sensory curriculum</w:t>
            </w:r>
          </w:p>
          <w:p w14:paraId="644F35B2" w14:textId="77777777" w:rsidR="00FA20FD" w:rsidRPr="001E7DE1" w:rsidRDefault="00FA20FD" w:rsidP="00FA20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ASDAN</w:t>
            </w:r>
          </w:p>
          <w:p w14:paraId="4DCBE3AD" w14:textId="77777777" w:rsidR="00FA20FD" w:rsidRPr="001E7DE1" w:rsidRDefault="00FA20FD" w:rsidP="00FA20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color w:val="000000"/>
                <w:sz w:val="16"/>
                <w:szCs w:val="16"/>
              </w:rPr>
              <w:t>high degree of individualised learning (Stage 3)</w:t>
            </w:r>
          </w:p>
          <w:p w14:paraId="21EA40E9" w14:textId="77777777" w:rsidR="00FA20FD" w:rsidRPr="001E7DE1" w:rsidRDefault="00FA20FD" w:rsidP="00E32B61">
            <w:pPr>
              <w:spacing w:after="0" w:line="24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0FD" w:rsidRPr="0022204D" w14:paraId="24649B4A" w14:textId="77777777" w:rsidTr="00E32B61">
        <w:trPr>
          <w:trHeight w:hRule="exact" w:val="1216"/>
        </w:trPr>
        <w:tc>
          <w:tcPr>
            <w:tcW w:w="3092" w:type="dxa"/>
            <w:shd w:val="clear" w:color="auto" w:fill="FFFFFF"/>
            <w:vAlign w:val="center"/>
          </w:tcPr>
          <w:p w14:paraId="626DB55C" w14:textId="77777777" w:rsidR="00FA20FD" w:rsidRPr="005922B9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22B9">
              <w:rPr>
                <w:rFonts w:ascii="Arial" w:hAnsi="Arial" w:cs="Arial"/>
                <w:b/>
              </w:rPr>
              <w:t>The level of adult support required</w:t>
            </w:r>
          </w:p>
        </w:tc>
        <w:tc>
          <w:tcPr>
            <w:tcW w:w="4394" w:type="dxa"/>
            <w:shd w:val="clear" w:color="auto" w:fill="DEEAF6"/>
          </w:tcPr>
          <w:p w14:paraId="25D368C2" w14:textId="77777777" w:rsidR="00FA20FD" w:rsidRPr="001E7DE1" w:rsidRDefault="00FA20FD" w:rsidP="00FA20F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Individual attention given</w:t>
            </w:r>
          </w:p>
          <w:p w14:paraId="3A66A841" w14:textId="77777777" w:rsidR="00FA20FD" w:rsidRPr="001E7DE1" w:rsidRDefault="00FA20FD" w:rsidP="00FA20F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Regular checking, monitoring of progress during learning</w:t>
            </w:r>
          </w:p>
          <w:p w14:paraId="0F518DEC" w14:textId="77777777" w:rsidR="00FA20FD" w:rsidRPr="001E7DE1" w:rsidRDefault="00FA20FD" w:rsidP="00FA20FD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 xml:space="preserve">Regular individual guidance/support by the Early Years Practitioner, class teacher </w:t>
            </w:r>
          </w:p>
        </w:tc>
        <w:tc>
          <w:tcPr>
            <w:tcW w:w="4111" w:type="dxa"/>
            <w:shd w:val="clear" w:color="auto" w:fill="BDD6EE"/>
          </w:tcPr>
          <w:p w14:paraId="46BE5513" w14:textId="77777777" w:rsidR="00FA20FD" w:rsidRPr="001E7DE1" w:rsidRDefault="00FA20FD" w:rsidP="00FA20FD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Adult available all of the time at early learning centre/school – but not closely/directly working or supervising the pupil</w:t>
            </w:r>
          </w:p>
          <w:p w14:paraId="0ED2988A" w14:textId="77777777" w:rsidR="00FA20FD" w:rsidRPr="001E7DE1" w:rsidRDefault="00FA20FD" w:rsidP="00FA20FD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Emotional check-in</w:t>
            </w:r>
          </w:p>
        </w:tc>
        <w:tc>
          <w:tcPr>
            <w:tcW w:w="3883" w:type="dxa"/>
            <w:shd w:val="clear" w:color="auto" w:fill="9CC2E5"/>
          </w:tcPr>
          <w:p w14:paraId="4032A96B" w14:textId="77777777" w:rsidR="00FA20FD" w:rsidRPr="001E7DE1" w:rsidRDefault="00FA20FD" w:rsidP="00FA20FD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Support for activities reviewed, evaluated</w:t>
            </w:r>
          </w:p>
          <w:p w14:paraId="729A4C0E" w14:textId="77777777" w:rsidR="00FA20FD" w:rsidRPr="001E7DE1" w:rsidRDefault="00FA20FD" w:rsidP="00FA20FD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 xml:space="preserve">Promoting independent learning/living through carefully structured consistent use of support </w:t>
            </w:r>
          </w:p>
        </w:tc>
      </w:tr>
      <w:tr w:rsidR="00FA20FD" w:rsidRPr="0022204D" w14:paraId="0F467B3B" w14:textId="77777777" w:rsidTr="00E32B61">
        <w:trPr>
          <w:trHeight w:hRule="exact" w:val="1304"/>
        </w:trPr>
        <w:tc>
          <w:tcPr>
            <w:tcW w:w="3092" w:type="dxa"/>
            <w:shd w:val="clear" w:color="auto" w:fill="FFFFFF"/>
            <w:vAlign w:val="center"/>
          </w:tcPr>
          <w:p w14:paraId="42A6366E" w14:textId="77777777" w:rsidR="00FA20FD" w:rsidRPr="005922B9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B0CC3">
              <w:rPr>
                <w:rFonts w:ascii="Arial" w:hAnsi="Arial" w:cs="Arial"/>
                <w:b/>
              </w:rPr>
              <w:t>The level of resources and strategies</w:t>
            </w:r>
          </w:p>
        </w:tc>
        <w:tc>
          <w:tcPr>
            <w:tcW w:w="4394" w:type="dxa"/>
            <w:shd w:val="clear" w:color="auto" w:fill="DEEAF6"/>
          </w:tcPr>
          <w:p w14:paraId="7D82FDE9" w14:textId="77777777" w:rsidR="00FA20FD" w:rsidRPr="001E7DE1" w:rsidRDefault="00FA20FD" w:rsidP="00FA20FD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mobility aids</w:t>
            </w:r>
          </w:p>
          <w:p w14:paraId="2553DFB0" w14:textId="77777777" w:rsidR="00FA20FD" w:rsidRPr="001E7DE1" w:rsidRDefault="00FA20FD" w:rsidP="00FA20FD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assistive technology support vis Ipad</w:t>
            </w:r>
          </w:p>
          <w:p w14:paraId="1DB92926" w14:textId="77777777" w:rsidR="00FA20FD" w:rsidRPr="001E7DE1" w:rsidRDefault="00FA20FD" w:rsidP="00FA20FD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fidget toys</w:t>
            </w:r>
          </w:p>
          <w:p w14:paraId="636C51D9" w14:textId="77777777" w:rsidR="00FA20FD" w:rsidRPr="001E7DE1" w:rsidRDefault="00FA20FD" w:rsidP="00FA20F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Social stories</w:t>
            </w:r>
          </w:p>
          <w:p w14:paraId="4D8CD0C4" w14:textId="77777777" w:rsidR="00FA20FD" w:rsidRPr="001E7DE1" w:rsidRDefault="00FA20FD" w:rsidP="00FA20F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Fizzy programme</w:t>
            </w:r>
          </w:p>
          <w:p w14:paraId="2E31CE5D" w14:textId="77777777" w:rsidR="00FA20FD" w:rsidRPr="001E7DE1" w:rsidRDefault="00FA20FD" w:rsidP="00FA20F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Apps</w:t>
            </w:r>
          </w:p>
          <w:p w14:paraId="47C6937C" w14:textId="77777777" w:rsidR="00FA20FD" w:rsidRPr="001E7DE1" w:rsidRDefault="00FA20FD" w:rsidP="00E32B61">
            <w:pPr>
              <w:spacing w:after="0" w:line="24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BDD6EE"/>
          </w:tcPr>
          <w:p w14:paraId="2814E3C0" w14:textId="77777777" w:rsidR="00FA20FD" w:rsidRPr="001E7DE1" w:rsidRDefault="00FA20FD" w:rsidP="00FA20FD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communication aids</w:t>
            </w:r>
          </w:p>
          <w:p w14:paraId="4471FF36" w14:textId="77777777" w:rsidR="00FA20FD" w:rsidRPr="001E7DE1" w:rsidRDefault="00FA20FD" w:rsidP="00FA20FD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Nurture groups</w:t>
            </w:r>
          </w:p>
          <w:p w14:paraId="645898E0" w14:textId="77777777" w:rsidR="00FA20FD" w:rsidRPr="001E7DE1" w:rsidRDefault="00FA20FD" w:rsidP="00FA20FD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Self-regulation tools</w:t>
            </w:r>
          </w:p>
          <w:p w14:paraId="35EDB68C" w14:textId="77777777" w:rsidR="00FA20FD" w:rsidRPr="001E7DE1" w:rsidRDefault="00FA20FD" w:rsidP="00FA20FD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Fizzy programme</w:t>
            </w:r>
          </w:p>
          <w:p w14:paraId="7B80E548" w14:textId="77777777" w:rsidR="00FA20FD" w:rsidRPr="001E7DE1" w:rsidRDefault="00FA20FD" w:rsidP="00FA20FD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Apps</w:t>
            </w:r>
          </w:p>
        </w:tc>
        <w:tc>
          <w:tcPr>
            <w:tcW w:w="3883" w:type="dxa"/>
            <w:shd w:val="clear" w:color="auto" w:fill="9CC2E5"/>
          </w:tcPr>
          <w:p w14:paraId="1AE905DA" w14:textId="77777777" w:rsidR="00FA20FD" w:rsidRPr="001E7DE1" w:rsidRDefault="00FA20FD" w:rsidP="00FA20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augmentative aids</w:t>
            </w:r>
          </w:p>
          <w:p w14:paraId="7892380F" w14:textId="77777777" w:rsidR="00FA20FD" w:rsidRPr="001E7DE1" w:rsidRDefault="00FA20FD" w:rsidP="00FA20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assistive technology</w:t>
            </w:r>
          </w:p>
          <w:p w14:paraId="1C7D9CAD" w14:textId="77777777" w:rsidR="00FA20FD" w:rsidRPr="001E7DE1" w:rsidRDefault="00FA20FD" w:rsidP="00FA20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mobility equipment</w:t>
            </w:r>
          </w:p>
          <w:p w14:paraId="19F04AD4" w14:textId="77777777" w:rsidR="00FA20FD" w:rsidRPr="001E7DE1" w:rsidRDefault="00FA20FD" w:rsidP="00FA20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sensory room</w:t>
            </w:r>
          </w:p>
          <w:p w14:paraId="32736069" w14:textId="77777777" w:rsidR="00FA20FD" w:rsidRPr="001E7DE1" w:rsidRDefault="00FA20FD" w:rsidP="00FA20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Apps</w:t>
            </w:r>
          </w:p>
        </w:tc>
      </w:tr>
      <w:tr w:rsidR="00FA20FD" w:rsidRPr="0022204D" w14:paraId="576EAA7F" w14:textId="77777777" w:rsidTr="00E32B61">
        <w:trPr>
          <w:trHeight w:hRule="exact" w:val="1608"/>
        </w:trPr>
        <w:tc>
          <w:tcPr>
            <w:tcW w:w="3092" w:type="dxa"/>
            <w:shd w:val="clear" w:color="auto" w:fill="FFFFFF"/>
            <w:vAlign w:val="center"/>
          </w:tcPr>
          <w:p w14:paraId="1DF24D2B" w14:textId="77777777" w:rsidR="00FA20FD" w:rsidRPr="005922B9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22B9">
              <w:rPr>
                <w:rFonts w:ascii="Arial" w:hAnsi="Arial" w:cs="Arial"/>
                <w:b/>
              </w:rPr>
              <w:t>Support agencies / services involvement</w:t>
            </w:r>
          </w:p>
        </w:tc>
        <w:tc>
          <w:tcPr>
            <w:tcW w:w="4394" w:type="dxa"/>
            <w:shd w:val="clear" w:color="auto" w:fill="DEEAF6"/>
          </w:tcPr>
          <w:p w14:paraId="73873014" w14:textId="77777777" w:rsidR="00FA20FD" w:rsidRPr="001E7DE1" w:rsidRDefault="00FA20FD" w:rsidP="00FA20FD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Class teacher/ Early Years Practitioner planning</w:t>
            </w:r>
          </w:p>
          <w:p w14:paraId="244C57B8" w14:textId="77777777" w:rsidR="00FA20FD" w:rsidRPr="001E7DE1" w:rsidRDefault="00FA20FD" w:rsidP="00FA20FD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ASN need recorded on SEEMIS Stage 1</w:t>
            </w:r>
            <w:r>
              <w:rPr>
                <w:rFonts w:ascii="Arial" w:hAnsi="Arial" w:cs="Arial"/>
                <w:sz w:val="16"/>
                <w:szCs w:val="16"/>
              </w:rPr>
              <w:t xml:space="preserve"> or for EY a paper copy</w:t>
            </w:r>
          </w:p>
          <w:p w14:paraId="1FCDE96A" w14:textId="77777777" w:rsidR="00FA20FD" w:rsidRPr="001E7DE1" w:rsidRDefault="00FA20FD" w:rsidP="00E32B6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BDD6EE"/>
          </w:tcPr>
          <w:p w14:paraId="39804A7F" w14:textId="77777777" w:rsidR="00FA20FD" w:rsidRPr="001E7DE1" w:rsidRDefault="00FA20FD" w:rsidP="00FA20F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Detailed Child’s Plan developed and reviewed through solution focused meetings</w:t>
            </w:r>
          </w:p>
          <w:p w14:paraId="09B6AC74" w14:textId="77777777" w:rsidR="00FA20FD" w:rsidRPr="001E7DE1" w:rsidRDefault="00FA20FD" w:rsidP="00FA20F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Specific assessments by other educational professionals</w:t>
            </w:r>
          </w:p>
          <w:p w14:paraId="4002881A" w14:textId="77777777" w:rsidR="00FA20FD" w:rsidRPr="001E7DE1" w:rsidRDefault="00FA20FD" w:rsidP="00FA20F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ASN need recorded on SEEMIS Stage 2</w:t>
            </w:r>
          </w:p>
          <w:p w14:paraId="3C2C1C7F" w14:textId="77777777" w:rsidR="00FA20FD" w:rsidRPr="001E7DE1" w:rsidRDefault="00FA20FD" w:rsidP="00FA20F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CAMHS</w:t>
            </w:r>
          </w:p>
          <w:p w14:paraId="034DFFD1" w14:textId="77777777" w:rsidR="00FA20FD" w:rsidRPr="001E7DE1" w:rsidRDefault="00FA20FD" w:rsidP="00E32B61">
            <w:pPr>
              <w:spacing w:after="0" w:line="24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3" w:type="dxa"/>
            <w:shd w:val="clear" w:color="auto" w:fill="9CC2E5"/>
          </w:tcPr>
          <w:p w14:paraId="625BB9EF" w14:textId="77777777" w:rsidR="00FA20FD" w:rsidRPr="001E7DE1" w:rsidRDefault="00FA20FD" w:rsidP="00FA20F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Regular planned meetings with the family</w:t>
            </w:r>
          </w:p>
          <w:p w14:paraId="73F8EAD4" w14:textId="77777777" w:rsidR="00FA20FD" w:rsidRPr="001E7DE1" w:rsidRDefault="00FA20FD" w:rsidP="00FA20F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Support by outside and specialist agencies/services (SLT, PT, Physiotherapist, Nurse, Paediatrician, Social Work, Young Carers)</w:t>
            </w:r>
          </w:p>
          <w:p w14:paraId="2F55B22A" w14:textId="77777777" w:rsidR="00FA20FD" w:rsidRPr="001E7DE1" w:rsidRDefault="00FA20FD" w:rsidP="00FA20F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ASN need recorded on SEEMIS Stage 3</w:t>
            </w:r>
          </w:p>
          <w:p w14:paraId="05A0C583" w14:textId="77777777" w:rsidR="00FA20FD" w:rsidRPr="001E7DE1" w:rsidRDefault="00FA20FD" w:rsidP="00FA20F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CAMHS</w:t>
            </w:r>
          </w:p>
          <w:p w14:paraId="03C5D450" w14:textId="77777777" w:rsidR="00FA20FD" w:rsidRPr="001E7DE1" w:rsidRDefault="00FA20FD" w:rsidP="00E32B61">
            <w:pPr>
              <w:spacing w:after="0" w:line="24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0FD" w:rsidRPr="0022204D" w14:paraId="39839E85" w14:textId="77777777" w:rsidTr="00FA20FD">
        <w:trPr>
          <w:trHeight w:hRule="exact" w:val="1638"/>
        </w:trPr>
        <w:tc>
          <w:tcPr>
            <w:tcW w:w="3092" w:type="dxa"/>
            <w:shd w:val="clear" w:color="auto" w:fill="FFFFFF"/>
            <w:vAlign w:val="center"/>
          </w:tcPr>
          <w:p w14:paraId="4B8FB522" w14:textId="77777777" w:rsidR="00FA20FD" w:rsidRPr="005922B9" w:rsidRDefault="00FA20FD" w:rsidP="00E32B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22B9">
              <w:rPr>
                <w:rFonts w:ascii="Arial" w:hAnsi="Arial" w:cs="Arial"/>
                <w:b/>
              </w:rPr>
              <w:t>Communication</w:t>
            </w:r>
          </w:p>
        </w:tc>
        <w:tc>
          <w:tcPr>
            <w:tcW w:w="4394" w:type="dxa"/>
            <w:shd w:val="clear" w:color="auto" w:fill="DEEAF6"/>
          </w:tcPr>
          <w:p w14:paraId="6324C1E0" w14:textId="77777777" w:rsidR="00FA20FD" w:rsidRPr="001E7DE1" w:rsidRDefault="00FA20FD" w:rsidP="00FA20F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visually supported environment</w:t>
            </w:r>
          </w:p>
          <w:p w14:paraId="142E9721" w14:textId="77777777" w:rsidR="00FA20FD" w:rsidRPr="001E7DE1" w:rsidRDefault="00FA20FD" w:rsidP="00FA20F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 xml:space="preserve">Less complex language  </w:t>
            </w:r>
          </w:p>
          <w:p w14:paraId="5A687DEA" w14:textId="77777777" w:rsidR="00FA20FD" w:rsidRPr="001E7DE1" w:rsidRDefault="00FA20FD" w:rsidP="00FA20F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Language – positive, presentation of choices, rewards.</w:t>
            </w:r>
          </w:p>
          <w:p w14:paraId="75B36B4C" w14:textId="77777777" w:rsidR="00FA20FD" w:rsidRPr="001E7DE1" w:rsidRDefault="00FA20FD" w:rsidP="00FA20F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Individual visual timetable</w:t>
            </w:r>
          </w:p>
          <w:p w14:paraId="7F283505" w14:textId="77777777" w:rsidR="00FA20FD" w:rsidRPr="001E7DE1" w:rsidRDefault="00FA20FD" w:rsidP="00FA20F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Social stories</w:t>
            </w:r>
          </w:p>
          <w:p w14:paraId="44870F1B" w14:textId="77777777" w:rsidR="00FA20FD" w:rsidRPr="001E7DE1" w:rsidRDefault="00FA20FD" w:rsidP="00FA20F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Consistent use of key words and phrases by adults</w:t>
            </w:r>
          </w:p>
          <w:p w14:paraId="0C5B5641" w14:textId="77777777" w:rsidR="00FA20FD" w:rsidRPr="001E7DE1" w:rsidRDefault="00FA20FD" w:rsidP="00E32B6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BDD6EE"/>
          </w:tcPr>
          <w:p w14:paraId="2708AE1E" w14:textId="77777777" w:rsidR="00FA20FD" w:rsidRPr="001E7DE1" w:rsidRDefault="00FA20FD" w:rsidP="00FA20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sign/gesture to reinforce spoken language</w:t>
            </w:r>
          </w:p>
          <w:p w14:paraId="130C78B6" w14:textId="77777777" w:rsidR="00FA20FD" w:rsidRPr="001E7DE1" w:rsidRDefault="00FA20FD" w:rsidP="00FA20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promote language rich environment</w:t>
            </w:r>
          </w:p>
          <w:p w14:paraId="607FA05A" w14:textId="77777777" w:rsidR="00FA20FD" w:rsidRPr="001E7DE1" w:rsidRDefault="00FA20FD" w:rsidP="00FA20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Support provided by HI, VI</w:t>
            </w:r>
          </w:p>
          <w:p w14:paraId="1B378C6A" w14:textId="77777777" w:rsidR="00FA20FD" w:rsidRPr="001E7DE1" w:rsidRDefault="00FA20FD" w:rsidP="00FA20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Visual timetable</w:t>
            </w:r>
          </w:p>
        </w:tc>
        <w:tc>
          <w:tcPr>
            <w:tcW w:w="3883" w:type="dxa"/>
            <w:shd w:val="clear" w:color="auto" w:fill="9CC2E5"/>
          </w:tcPr>
          <w:p w14:paraId="3D1291AE" w14:textId="77777777" w:rsidR="00FA20FD" w:rsidRPr="001E7DE1" w:rsidRDefault="00FA20FD" w:rsidP="00FA20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sign language</w:t>
            </w:r>
          </w:p>
          <w:p w14:paraId="0C6B8B84" w14:textId="77777777" w:rsidR="00FA20FD" w:rsidRPr="001E7DE1" w:rsidRDefault="00FA20FD" w:rsidP="00FA20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Braille</w:t>
            </w:r>
          </w:p>
          <w:p w14:paraId="14D40F7D" w14:textId="77777777" w:rsidR="00FA20FD" w:rsidRPr="001E7DE1" w:rsidRDefault="00FA20FD" w:rsidP="00FA20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PECS</w:t>
            </w:r>
          </w:p>
          <w:p w14:paraId="2662DB4B" w14:textId="77777777" w:rsidR="00FA20FD" w:rsidRPr="001E7DE1" w:rsidRDefault="00FA20FD" w:rsidP="00FA20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7DE1">
              <w:rPr>
                <w:rFonts w:ascii="Arial" w:hAnsi="Arial" w:cs="Arial"/>
                <w:sz w:val="16"/>
                <w:szCs w:val="16"/>
              </w:rPr>
              <w:t>De-escalation</w:t>
            </w:r>
          </w:p>
        </w:tc>
      </w:tr>
    </w:tbl>
    <w:p w14:paraId="096518BB" w14:textId="77777777" w:rsidR="00FA20FD" w:rsidRDefault="00FA20FD" w:rsidP="00FA20FD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06726B32" w14:textId="77777777" w:rsidR="00FA20FD" w:rsidRDefault="00FA20FD" w:rsidP="00FA20FD">
      <w:pPr>
        <w:spacing w:after="160" w:line="259" w:lineRule="auto"/>
        <w:rPr>
          <w:rFonts w:ascii="Arial" w:hAnsi="Arial" w:cs="Arial"/>
          <w:b/>
          <w:sz w:val="28"/>
          <w:szCs w:val="28"/>
        </w:rPr>
        <w:sectPr w:rsidR="00FA20FD" w:rsidSect="00672C4C">
          <w:headerReference w:type="default" r:id="rId7"/>
          <w:pgSz w:w="16838" w:h="11906" w:orient="landscape"/>
          <w:pgMar w:top="181" w:right="1440" w:bottom="23" w:left="1440" w:header="227" w:footer="340" w:gutter="0"/>
          <w:cols w:space="708"/>
          <w:docGrid w:linePitch="360"/>
        </w:sectPr>
      </w:pPr>
    </w:p>
    <w:p w14:paraId="6E87058C" w14:textId="77777777" w:rsidR="00A40495" w:rsidRDefault="00A40495"/>
    <w:sectPr w:rsidR="00A40495" w:rsidSect="00FA20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F9723" w14:textId="77777777" w:rsidR="00E77533" w:rsidRDefault="00E77533">
      <w:pPr>
        <w:spacing w:after="0" w:line="240" w:lineRule="auto"/>
      </w:pPr>
      <w:r>
        <w:separator/>
      </w:r>
    </w:p>
  </w:endnote>
  <w:endnote w:type="continuationSeparator" w:id="0">
    <w:p w14:paraId="24110D74" w14:textId="77777777" w:rsidR="00E77533" w:rsidRDefault="00E7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079F9" w14:textId="77777777" w:rsidR="00E77533" w:rsidRDefault="00E77533">
      <w:pPr>
        <w:spacing w:after="0" w:line="240" w:lineRule="auto"/>
      </w:pPr>
      <w:r>
        <w:separator/>
      </w:r>
    </w:p>
  </w:footnote>
  <w:footnote w:type="continuationSeparator" w:id="0">
    <w:p w14:paraId="025B31C3" w14:textId="77777777" w:rsidR="00E77533" w:rsidRDefault="00E7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14DF" w14:textId="77777777" w:rsidR="00E77533" w:rsidRDefault="00FA20FD" w:rsidP="00FD684B">
    <w:pPr>
      <w:pStyle w:val="Title"/>
      <w:ind w:left="-1080"/>
      <w:rPr>
        <w:rFonts w:ascii="Arial" w:hAnsi="Arial" w:cs="Arial"/>
        <w:color w:val="00206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18E4931" wp14:editId="0A9ABDFD">
          <wp:simplePos x="0" y="0"/>
          <wp:positionH relativeFrom="margin">
            <wp:posOffset>-183515</wp:posOffset>
          </wp:positionH>
          <wp:positionV relativeFrom="paragraph">
            <wp:posOffset>-90170</wp:posOffset>
          </wp:positionV>
          <wp:extent cx="704850" cy="601980"/>
          <wp:effectExtent l="0" t="0" r="0" b="7620"/>
          <wp:wrapSquare wrapText="bothSides"/>
          <wp:docPr id="292" name="Picture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D773693" wp14:editId="117590ED">
          <wp:simplePos x="0" y="0"/>
          <wp:positionH relativeFrom="column">
            <wp:posOffset>8059420</wp:posOffset>
          </wp:positionH>
          <wp:positionV relativeFrom="paragraph">
            <wp:posOffset>-144145</wp:posOffset>
          </wp:positionV>
          <wp:extent cx="808355" cy="716915"/>
          <wp:effectExtent l="0" t="0" r="0" b="6985"/>
          <wp:wrapSquare wrapText="bothSides"/>
          <wp:docPr id="293" name="Picture 293" descr="cid:image003.png@01D2F9BE.D01168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png@01D2F9BE.D01168B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456BB5" w14:textId="77777777" w:rsidR="00E77533" w:rsidRDefault="00FA20FD" w:rsidP="00FD684B">
    <w:pPr>
      <w:pStyle w:val="Title"/>
      <w:ind w:left="-1080"/>
      <w:rPr>
        <w:rFonts w:ascii="Arial" w:hAnsi="Arial" w:cs="Arial"/>
        <w:color w:val="002060"/>
        <w:sz w:val="24"/>
        <w:szCs w:val="24"/>
      </w:rPr>
    </w:pPr>
    <w:r>
      <w:rPr>
        <w:rFonts w:ascii="Arial" w:hAnsi="Arial" w:cs="Arial"/>
        <w:color w:val="002060"/>
        <w:sz w:val="24"/>
        <w:szCs w:val="24"/>
      </w:rPr>
      <w:t>Inclusion and Equality</w:t>
    </w:r>
    <w:r w:rsidRPr="00232352">
      <w:rPr>
        <w:rFonts w:ascii="Arial" w:hAnsi="Arial" w:cs="Arial"/>
        <w:color w:val="002060"/>
        <w:sz w:val="24"/>
        <w:szCs w:val="24"/>
      </w:rPr>
      <w:t xml:space="preserve"> Additional Support Needs (ASN) Stages of need Matrix</w:t>
    </w:r>
    <w:r>
      <w:rPr>
        <w:rFonts w:ascii="Arial" w:hAnsi="Arial" w:cs="Arial"/>
        <w:color w:val="002060"/>
        <w:sz w:val="24"/>
        <w:szCs w:val="24"/>
      </w:rPr>
      <w:t xml:space="preserve">  </w:t>
    </w:r>
  </w:p>
  <w:p w14:paraId="3B41B72D" w14:textId="77777777" w:rsidR="00E77533" w:rsidRDefault="00E77533" w:rsidP="00FD684B">
    <w:pPr>
      <w:pStyle w:val="Title"/>
      <w:ind w:left="-1080"/>
      <w:rPr>
        <w:rFonts w:ascii="Arial" w:hAnsi="Arial" w:cs="Arial"/>
        <w:color w:val="002060"/>
        <w:sz w:val="24"/>
        <w:szCs w:val="24"/>
      </w:rPr>
    </w:pPr>
  </w:p>
  <w:p w14:paraId="631D0A91" w14:textId="77777777" w:rsidR="00E77533" w:rsidRPr="00232352" w:rsidRDefault="00FA20FD" w:rsidP="00FD684B">
    <w:pPr>
      <w:pStyle w:val="Title"/>
      <w:ind w:left="-1080"/>
      <w:rPr>
        <w:rFonts w:ascii="Arial" w:hAnsi="Arial" w:cs="Arial"/>
        <w:color w:val="002060"/>
        <w:sz w:val="24"/>
        <w:szCs w:val="24"/>
      </w:rPr>
    </w:pPr>
    <w:r>
      <w:rPr>
        <w:rFonts w:ascii="Arial" w:hAnsi="Arial" w:cs="Arial"/>
        <w:color w:val="002060"/>
        <w:sz w:val="24"/>
        <w:szCs w:val="24"/>
      </w:rPr>
      <w:t xml:space="preserve">        </w:t>
    </w:r>
    <w:r w:rsidRPr="005E6D54">
      <w:rPr>
        <w:rFonts w:ascii="Arial" w:hAnsi="Arial" w:cs="Arial"/>
        <w:color w:val="2E74B5"/>
      </w:rPr>
      <w:t xml:space="preserve"> </w:t>
    </w:r>
  </w:p>
  <w:p w14:paraId="6C2B58FB" w14:textId="77777777" w:rsidR="00E77533" w:rsidRDefault="00E77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3E76"/>
    <w:multiLevelType w:val="hybridMultilevel"/>
    <w:tmpl w:val="DBC470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2510"/>
    <w:multiLevelType w:val="hybridMultilevel"/>
    <w:tmpl w:val="C01C6D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440"/>
    <w:multiLevelType w:val="hybridMultilevel"/>
    <w:tmpl w:val="AB709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E001B"/>
    <w:multiLevelType w:val="hybridMultilevel"/>
    <w:tmpl w:val="8A6A9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37B9"/>
    <w:multiLevelType w:val="hybridMultilevel"/>
    <w:tmpl w:val="CAD27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7F01"/>
    <w:multiLevelType w:val="hybridMultilevel"/>
    <w:tmpl w:val="4FD4C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04067"/>
    <w:multiLevelType w:val="hybridMultilevel"/>
    <w:tmpl w:val="E9620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27885"/>
    <w:multiLevelType w:val="hybridMultilevel"/>
    <w:tmpl w:val="F600F7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E6118"/>
    <w:multiLevelType w:val="hybridMultilevel"/>
    <w:tmpl w:val="3B489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328D9"/>
    <w:multiLevelType w:val="hybridMultilevel"/>
    <w:tmpl w:val="A7C47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829C7"/>
    <w:multiLevelType w:val="hybridMultilevel"/>
    <w:tmpl w:val="0658D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40CB0"/>
    <w:multiLevelType w:val="hybridMultilevel"/>
    <w:tmpl w:val="96C823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B6491"/>
    <w:multiLevelType w:val="hybridMultilevel"/>
    <w:tmpl w:val="BA26C2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70CED"/>
    <w:multiLevelType w:val="hybridMultilevel"/>
    <w:tmpl w:val="3D569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3320C"/>
    <w:multiLevelType w:val="hybridMultilevel"/>
    <w:tmpl w:val="40FC6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56D4E"/>
    <w:multiLevelType w:val="hybridMultilevel"/>
    <w:tmpl w:val="E6CCA6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9687C"/>
    <w:multiLevelType w:val="hybridMultilevel"/>
    <w:tmpl w:val="658C2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14806">
    <w:abstractNumId w:val="0"/>
  </w:num>
  <w:num w:numId="2" w16cid:durableId="2118980531">
    <w:abstractNumId w:val="11"/>
  </w:num>
  <w:num w:numId="3" w16cid:durableId="209070612">
    <w:abstractNumId w:val="12"/>
  </w:num>
  <w:num w:numId="4" w16cid:durableId="329136231">
    <w:abstractNumId w:val="15"/>
  </w:num>
  <w:num w:numId="5" w16cid:durableId="1422066833">
    <w:abstractNumId w:val="9"/>
  </w:num>
  <w:num w:numId="6" w16cid:durableId="1832721889">
    <w:abstractNumId w:val="3"/>
  </w:num>
  <w:num w:numId="7" w16cid:durableId="827750200">
    <w:abstractNumId w:val="1"/>
  </w:num>
  <w:num w:numId="8" w16cid:durableId="835611936">
    <w:abstractNumId w:val="7"/>
  </w:num>
  <w:num w:numId="9" w16cid:durableId="1364818931">
    <w:abstractNumId w:val="16"/>
  </w:num>
  <w:num w:numId="10" w16cid:durableId="1956018881">
    <w:abstractNumId w:val="5"/>
  </w:num>
  <w:num w:numId="11" w16cid:durableId="391776330">
    <w:abstractNumId w:val="10"/>
  </w:num>
  <w:num w:numId="12" w16cid:durableId="1292052386">
    <w:abstractNumId w:val="8"/>
  </w:num>
  <w:num w:numId="13" w16cid:durableId="404840603">
    <w:abstractNumId w:val="2"/>
  </w:num>
  <w:num w:numId="14" w16cid:durableId="959605924">
    <w:abstractNumId w:val="4"/>
  </w:num>
  <w:num w:numId="15" w16cid:durableId="643509891">
    <w:abstractNumId w:val="6"/>
  </w:num>
  <w:num w:numId="16" w16cid:durableId="101078527">
    <w:abstractNumId w:val="14"/>
  </w:num>
  <w:num w:numId="17" w16cid:durableId="21141326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FD"/>
    <w:rsid w:val="000737BC"/>
    <w:rsid w:val="00A40495"/>
    <w:rsid w:val="00E77533"/>
    <w:rsid w:val="00FA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B8A0"/>
  <w15:chartTrackingRefBased/>
  <w15:docId w15:val="{7562240B-358B-45AD-B026-60F195DB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0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A20FD"/>
  </w:style>
  <w:style w:type="paragraph" w:styleId="Title">
    <w:name w:val="Title"/>
    <w:basedOn w:val="Normal"/>
    <w:link w:val="TitleChar"/>
    <w:qFormat/>
    <w:rsid w:val="00FA20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FA20FD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FA20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74292.8984A8F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Louise</dc:creator>
  <cp:keywords/>
  <dc:description/>
  <cp:lastModifiedBy>Black, Laurie</cp:lastModifiedBy>
  <cp:revision>2</cp:revision>
  <dcterms:created xsi:type="dcterms:W3CDTF">2024-08-21T10:38:00Z</dcterms:created>
  <dcterms:modified xsi:type="dcterms:W3CDTF">2024-08-21T10:38:00Z</dcterms:modified>
</cp:coreProperties>
</file>